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FEF" w:rsidRPr="00036FEF" w:rsidRDefault="00036FEF" w:rsidP="00036FEF">
      <w:pPr>
        <w:ind w:firstLine="708"/>
        <w:jc w:val="both"/>
        <w:rPr>
          <w:b/>
          <w:color w:val="632423" w:themeColor="accent2" w:themeShade="80"/>
          <w:sz w:val="32"/>
          <w:szCs w:val="32"/>
          <w:u w:val="single"/>
        </w:rPr>
      </w:pPr>
      <w:r w:rsidRPr="00036FEF">
        <w:rPr>
          <w:b/>
          <w:color w:val="632423" w:themeColor="accent2" w:themeShade="80"/>
          <w:sz w:val="32"/>
          <w:szCs w:val="32"/>
          <w:u w:val="single"/>
        </w:rPr>
        <w:t xml:space="preserve">    ОТЧЕТ ОБ ИСПОЛНЕНИИ БЮДЖЕТА</w:t>
      </w:r>
    </w:p>
    <w:p w:rsidR="00036FEF" w:rsidRPr="00036FEF" w:rsidRDefault="00036FEF" w:rsidP="00036FEF">
      <w:pPr>
        <w:ind w:firstLine="708"/>
        <w:jc w:val="both"/>
        <w:rPr>
          <w:b/>
          <w:color w:val="632423" w:themeColor="accent2" w:themeShade="80"/>
          <w:sz w:val="32"/>
          <w:szCs w:val="32"/>
          <w:u w:val="single"/>
        </w:rPr>
      </w:pPr>
      <w:r w:rsidRPr="00036FEF">
        <w:rPr>
          <w:b/>
          <w:color w:val="632423" w:themeColor="accent2" w:themeShade="80"/>
          <w:sz w:val="32"/>
          <w:szCs w:val="32"/>
          <w:u w:val="single"/>
        </w:rPr>
        <w:t>БРАСОВСКОГО МУНИЦИПАЛЬНОГО РАЙОНА</w:t>
      </w:r>
    </w:p>
    <w:p w:rsidR="00036FEF" w:rsidRPr="00036FEF" w:rsidRDefault="00036FEF" w:rsidP="00036FEF">
      <w:pPr>
        <w:ind w:firstLine="708"/>
        <w:jc w:val="both"/>
        <w:rPr>
          <w:b/>
          <w:color w:val="632423" w:themeColor="accent2" w:themeShade="80"/>
          <w:sz w:val="32"/>
          <w:szCs w:val="32"/>
          <w:u w:val="single"/>
        </w:rPr>
      </w:pPr>
      <w:r w:rsidRPr="00036FEF">
        <w:rPr>
          <w:b/>
          <w:color w:val="632423" w:themeColor="accent2" w:themeShade="80"/>
          <w:sz w:val="32"/>
          <w:szCs w:val="32"/>
          <w:u w:val="single"/>
        </w:rPr>
        <w:t xml:space="preserve">               ЗА  2022 ФИНАНСОВЫЙ ГОД</w:t>
      </w:r>
    </w:p>
    <w:p w:rsidR="00036FEF" w:rsidRPr="00036FEF" w:rsidRDefault="00036FEF" w:rsidP="00036FEF">
      <w:pPr>
        <w:ind w:firstLine="708"/>
        <w:jc w:val="both"/>
        <w:rPr>
          <w:color w:val="1F497D" w:themeColor="text2"/>
          <w:sz w:val="32"/>
          <w:szCs w:val="32"/>
        </w:rPr>
      </w:pPr>
    </w:p>
    <w:p w:rsidR="00036FEF" w:rsidRDefault="00036FEF" w:rsidP="00036FEF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Уважаемые депутаты и приглашенные</w:t>
      </w:r>
      <w:proofErr w:type="gramStart"/>
      <w:r>
        <w:rPr>
          <w:b/>
          <w:sz w:val="32"/>
          <w:szCs w:val="32"/>
        </w:rPr>
        <w:t xml:space="preserve"> !</w:t>
      </w:r>
      <w:proofErr w:type="gramEnd"/>
    </w:p>
    <w:p w:rsidR="00036FEF" w:rsidRDefault="00036FEF" w:rsidP="00036FEF">
      <w:pPr>
        <w:ind w:firstLine="708"/>
        <w:jc w:val="both"/>
        <w:rPr>
          <w:b/>
          <w:sz w:val="32"/>
          <w:szCs w:val="32"/>
        </w:rPr>
      </w:pPr>
    </w:p>
    <w:p w:rsidR="00036FEF" w:rsidRDefault="00036FEF" w:rsidP="00036FEF">
      <w:pPr>
        <w:tabs>
          <w:tab w:val="left" w:pos="709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2B0928">
        <w:rPr>
          <w:rFonts w:eastAsia="Calibri"/>
          <w:sz w:val="32"/>
          <w:szCs w:val="32"/>
          <w:lang w:eastAsia="en-US"/>
        </w:rPr>
        <w:t xml:space="preserve"> Сегодня  на ваше рассмотрение </w:t>
      </w:r>
      <w:bookmarkStart w:id="0" w:name="_GoBack"/>
      <w:bookmarkEnd w:id="0"/>
      <w:r>
        <w:rPr>
          <w:sz w:val="32"/>
          <w:szCs w:val="32"/>
        </w:rPr>
        <w:t xml:space="preserve"> выносится отчет об исполнении бюджета района за  2022 год.</w:t>
      </w:r>
    </w:p>
    <w:p w:rsidR="00036FEF" w:rsidRDefault="00036FEF" w:rsidP="00036FE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Оперативное взаимодействие с администраторами поступлений доходов</w:t>
      </w:r>
      <w:proofErr w:type="gramStart"/>
      <w:r>
        <w:rPr>
          <w:color w:val="000000"/>
          <w:sz w:val="32"/>
          <w:szCs w:val="32"/>
        </w:rPr>
        <w:t xml:space="preserve">  ,</w:t>
      </w:r>
      <w:proofErr w:type="gramEnd"/>
      <w:r>
        <w:rPr>
          <w:color w:val="000000"/>
          <w:sz w:val="32"/>
          <w:szCs w:val="32"/>
        </w:rPr>
        <w:t xml:space="preserve"> управлением федерального казначейства, структурными подразделениями администрации района, ежедневный мониторинг налоговых и неналоговых поступлений в бюджет  района, проводимый работниками  финансового отдела,  позволил своевременно реагировать на динамику поступлений в течение года и принимать эффективные меры по мобилизации доходов в бюджет и эффективному использованию бюджетных средств.</w:t>
      </w:r>
    </w:p>
    <w:p w:rsidR="00036FEF" w:rsidRDefault="00036FEF" w:rsidP="00036FEF">
      <w:pPr>
        <w:spacing w:after="200"/>
        <w:ind w:firstLine="709"/>
        <w:jc w:val="both"/>
        <w:rPr>
          <w:rFonts w:eastAsiaTheme="minorHAnsi"/>
          <w:bCs/>
          <w:iCs/>
          <w:sz w:val="32"/>
          <w:szCs w:val="32"/>
          <w:lang w:eastAsia="en-US"/>
        </w:rPr>
      </w:pPr>
      <w:r>
        <w:rPr>
          <w:rFonts w:eastAsiaTheme="minorHAnsi"/>
          <w:bCs/>
          <w:iCs/>
          <w:sz w:val="32"/>
          <w:szCs w:val="32"/>
          <w:lang w:eastAsia="en-US"/>
        </w:rPr>
        <w:t>Исполнение бюджета района осуществлялось с учетом основных направлений бюджетной и  налоговой политики, которые определяет базовые принципы, условия и подходы формирования и исполнения бюджета  района.</w:t>
      </w:r>
    </w:p>
    <w:p w:rsidR="00036FEF" w:rsidRDefault="00036FEF" w:rsidP="00036FEF">
      <w:pPr>
        <w:spacing w:after="200"/>
        <w:ind w:firstLine="709"/>
        <w:jc w:val="both"/>
        <w:rPr>
          <w:rFonts w:eastAsiaTheme="minorHAnsi"/>
          <w:bCs/>
          <w:iCs/>
          <w:sz w:val="32"/>
          <w:szCs w:val="32"/>
          <w:lang w:eastAsia="en-US"/>
        </w:rPr>
      </w:pPr>
      <w:r>
        <w:rPr>
          <w:rFonts w:eastAsiaTheme="minorHAnsi"/>
          <w:noProof/>
          <w:sz w:val="32"/>
          <w:szCs w:val="32"/>
        </w:rPr>
        <w:drawing>
          <wp:inline distT="0" distB="0" distL="0" distR="0">
            <wp:extent cx="5486400" cy="3228975"/>
            <wp:effectExtent l="0" t="0" r="0" b="952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036FEF" w:rsidRDefault="00036FEF" w:rsidP="00036FE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32"/>
        </w:rPr>
      </w:pPr>
    </w:p>
    <w:p w:rsidR="00036FEF" w:rsidRDefault="00036FEF" w:rsidP="00DB7884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 территории  Брасовского района </w:t>
      </w:r>
      <w:r w:rsidR="00EB68C9">
        <w:rPr>
          <w:sz w:val="32"/>
          <w:szCs w:val="32"/>
        </w:rPr>
        <w:t xml:space="preserve">по данным налоговой  службы </w:t>
      </w:r>
      <w:r w:rsidR="00EE0260">
        <w:rPr>
          <w:sz w:val="32"/>
          <w:szCs w:val="32"/>
        </w:rPr>
        <w:t xml:space="preserve">за  истекший год </w:t>
      </w:r>
      <w:r>
        <w:rPr>
          <w:sz w:val="32"/>
          <w:szCs w:val="32"/>
        </w:rPr>
        <w:t>в доход  бюджетов всех уровней</w:t>
      </w:r>
      <w:r w:rsidR="00EE0260">
        <w:rPr>
          <w:sz w:val="32"/>
          <w:szCs w:val="32"/>
        </w:rPr>
        <w:t xml:space="preserve">  </w:t>
      </w:r>
      <w:r w:rsidR="00EB68C9">
        <w:rPr>
          <w:sz w:val="32"/>
          <w:szCs w:val="32"/>
        </w:rPr>
        <w:lastRenderedPageBreak/>
        <w:t>мобилизовано  налогов, сборов и  иных обязательных платежей</w:t>
      </w:r>
      <w:r w:rsidR="00DB7884">
        <w:rPr>
          <w:sz w:val="32"/>
          <w:szCs w:val="32"/>
        </w:rPr>
        <w:t xml:space="preserve"> в сумме 422,5</w:t>
      </w:r>
      <w:r w:rsidR="00EB68C9">
        <w:rPr>
          <w:sz w:val="32"/>
          <w:szCs w:val="32"/>
        </w:rPr>
        <w:t xml:space="preserve"> млн.руб.</w:t>
      </w:r>
      <w:proofErr w:type="gramStart"/>
      <w:r w:rsidR="00EB68C9">
        <w:rPr>
          <w:kern w:val="16"/>
          <w:sz w:val="32"/>
          <w:szCs w:val="32"/>
        </w:rPr>
        <w:t xml:space="preserve"> ,</w:t>
      </w:r>
      <w:proofErr w:type="gramEnd"/>
      <w:r w:rsidR="00EB68C9">
        <w:rPr>
          <w:kern w:val="16"/>
          <w:sz w:val="32"/>
          <w:szCs w:val="32"/>
        </w:rPr>
        <w:t xml:space="preserve"> </w:t>
      </w:r>
      <w:proofErr w:type="spellStart"/>
      <w:r w:rsidR="00EB68C9">
        <w:rPr>
          <w:kern w:val="16"/>
          <w:sz w:val="32"/>
          <w:szCs w:val="32"/>
        </w:rPr>
        <w:t>т.е</w:t>
      </w:r>
      <w:proofErr w:type="spellEnd"/>
      <w:r w:rsidR="00EB68C9">
        <w:rPr>
          <w:kern w:val="16"/>
          <w:sz w:val="32"/>
          <w:szCs w:val="32"/>
        </w:rPr>
        <w:t xml:space="preserve"> к уровню 2021</w:t>
      </w:r>
      <w:r>
        <w:rPr>
          <w:kern w:val="16"/>
          <w:sz w:val="32"/>
          <w:szCs w:val="32"/>
        </w:rPr>
        <w:t xml:space="preserve"> года</w:t>
      </w:r>
      <w:r w:rsidR="00EB68C9">
        <w:rPr>
          <w:kern w:val="16"/>
          <w:sz w:val="32"/>
          <w:szCs w:val="32"/>
        </w:rPr>
        <w:t xml:space="preserve"> поступления увеличились на 89,8</w:t>
      </w:r>
      <w:r>
        <w:rPr>
          <w:kern w:val="16"/>
          <w:sz w:val="32"/>
          <w:szCs w:val="32"/>
        </w:rPr>
        <w:t xml:space="preserve"> млн.руб.</w:t>
      </w:r>
    </w:p>
    <w:p w:rsidR="00036FEF" w:rsidRDefault="00036FEF" w:rsidP="00036FEF">
      <w:pPr>
        <w:spacing w:line="276" w:lineRule="auto"/>
        <w:rPr>
          <w:kern w:val="16"/>
          <w:sz w:val="32"/>
          <w:szCs w:val="32"/>
        </w:rPr>
      </w:pPr>
      <w:r>
        <w:rPr>
          <w:kern w:val="16"/>
          <w:sz w:val="32"/>
          <w:szCs w:val="32"/>
        </w:rPr>
        <w:t xml:space="preserve">      </w:t>
      </w:r>
    </w:p>
    <w:p w:rsidR="00036FEF" w:rsidRPr="001B24B7" w:rsidRDefault="00036FEF" w:rsidP="00036FEF">
      <w:pPr>
        <w:spacing w:line="276" w:lineRule="auto"/>
        <w:ind w:firstLine="540"/>
        <w:rPr>
          <w:rFonts w:ascii="Cambria" w:hAnsi="Cambria"/>
          <w:b/>
          <w:color w:val="403152" w:themeColor="accent4" w:themeShade="80"/>
          <w:kern w:val="16"/>
          <w:sz w:val="32"/>
          <w:szCs w:val="32"/>
          <w:u w:val="single"/>
        </w:rPr>
      </w:pPr>
      <w:r w:rsidRPr="001B24B7">
        <w:rPr>
          <w:rFonts w:ascii="Cambria" w:hAnsi="Cambria"/>
          <w:b/>
          <w:color w:val="403152" w:themeColor="accent4" w:themeShade="80"/>
          <w:kern w:val="16"/>
          <w:sz w:val="32"/>
          <w:szCs w:val="32"/>
          <w:u w:val="single"/>
        </w:rPr>
        <w:t xml:space="preserve">       Остановимся на основных показателях</w:t>
      </w:r>
    </w:p>
    <w:p w:rsidR="00036FEF" w:rsidRPr="001B24B7" w:rsidRDefault="00036FEF" w:rsidP="00036FEF">
      <w:pPr>
        <w:spacing w:line="276" w:lineRule="auto"/>
        <w:ind w:firstLine="540"/>
        <w:rPr>
          <w:b/>
          <w:color w:val="403152" w:themeColor="accent4" w:themeShade="80"/>
          <w:sz w:val="32"/>
          <w:szCs w:val="32"/>
          <w:u w:val="single"/>
        </w:rPr>
      </w:pPr>
      <w:r w:rsidRPr="001B24B7">
        <w:rPr>
          <w:rFonts w:ascii="Cambria" w:hAnsi="Cambria"/>
          <w:b/>
          <w:color w:val="403152" w:themeColor="accent4" w:themeShade="80"/>
          <w:kern w:val="16"/>
          <w:sz w:val="32"/>
          <w:szCs w:val="32"/>
          <w:u w:val="single"/>
        </w:rPr>
        <w:t xml:space="preserve">                     исполнения бюджета</w:t>
      </w:r>
    </w:p>
    <w:p w:rsidR="00036FEF" w:rsidRPr="001B24B7" w:rsidRDefault="00036FEF" w:rsidP="00036FEF">
      <w:pPr>
        <w:spacing w:line="276" w:lineRule="auto"/>
        <w:ind w:firstLine="540"/>
        <w:rPr>
          <w:b/>
          <w:color w:val="403152" w:themeColor="accent4" w:themeShade="80"/>
          <w:sz w:val="32"/>
          <w:szCs w:val="32"/>
          <w:u w:val="single"/>
        </w:rPr>
      </w:pPr>
      <w:r w:rsidRPr="001B24B7">
        <w:rPr>
          <w:b/>
          <w:color w:val="403152" w:themeColor="accent4" w:themeShade="80"/>
          <w:sz w:val="32"/>
          <w:szCs w:val="32"/>
          <w:u w:val="single"/>
        </w:rPr>
        <w:t xml:space="preserve">         </w:t>
      </w:r>
    </w:p>
    <w:p w:rsidR="00036FEF" w:rsidRDefault="00036FEF" w:rsidP="00036FEF">
      <w:pPr>
        <w:spacing w:line="276" w:lineRule="auto"/>
        <w:ind w:firstLine="540"/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</w:t>
      </w:r>
      <w:r>
        <w:rPr>
          <w:sz w:val="28"/>
          <w:szCs w:val="28"/>
        </w:rPr>
        <w:t xml:space="preserve">                                    (в  млн.руб.)</w:t>
      </w:r>
    </w:p>
    <w:tbl>
      <w:tblPr>
        <w:tblW w:w="7395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1560"/>
        <w:gridCol w:w="1845"/>
        <w:gridCol w:w="1556"/>
      </w:tblGrid>
      <w:tr w:rsidR="00036FEF" w:rsidTr="00036FEF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036FE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04109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 в2021</w:t>
            </w:r>
            <w:r w:rsidR="00036FEF">
              <w:rPr>
                <w:sz w:val="28"/>
                <w:szCs w:val="28"/>
                <w:lang w:eastAsia="en-US"/>
              </w:rPr>
              <w:t xml:space="preserve">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04109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Уточненный план 2022</w:t>
            </w:r>
            <w:r w:rsidR="00036FEF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04109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 в 2022</w:t>
            </w:r>
            <w:r w:rsidR="00036FEF">
              <w:rPr>
                <w:sz w:val="28"/>
                <w:szCs w:val="28"/>
                <w:lang w:eastAsia="en-US"/>
              </w:rPr>
              <w:t>году</w:t>
            </w:r>
          </w:p>
        </w:tc>
      </w:tr>
      <w:tr w:rsidR="00036FEF" w:rsidTr="00036FEF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Pr="00585102" w:rsidRDefault="00036FEF">
            <w:pPr>
              <w:spacing w:line="276" w:lineRule="auto"/>
              <w:rPr>
                <w:b/>
                <w:color w:val="17365D" w:themeColor="text2" w:themeShade="BF"/>
                <w:sz w:val="28"/>
                <w:szCs w:val="28"/>
                <w:lang w:eastAsia="en-US"/>
              </w:rPr>
            </w:pPr>
            <w:r w:rsidRPr="00585102">
              <w:rPr>
                <w:b/>
                <w:color w:val="632423" w:themeColor="accent2" w:themeShade="80"/>
                <w:sz w:val="28"/>
                <w:szCs w:val="28"/>
                <w:lang w:eastAsia="en-US"/>
              </w:rPr>
              <w:t xml:space="preserve">         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Pr="00585102" w:rsidRDefault="0004109E">
            <w:pPr>
              <w:spacing w:line="276" w:lineRule="auto"/>
              <w:rPr>
                <w:color w:val="17365D" w:themeColor="text2" w:themeShade="BF"/>
                <w:sz w:val="28"/>
                <w:szCs w:val="28"/>
                <w:lang w:eastAsia="en-US"/>
              </w:rPr>
            </w:pPr>
            <w:r w:rsidRPr="00585102">
              <w:rPr>
                <w:color w:val="17365D" w:themeColor="text2" w:themeShade="BF"/>
                <w:sz w:val="28"/>
                <w:szCs w:val="28"/>
                <w:lang w:eastAsia="en-US"/>
              </w:rPr>
              <w:t>499,7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Pr="00585102" w:rsidRDefault="0004109E">
            <w:pPr>
              <w:spacing w:line="276" w:lineRule="auto"/>
              <w:rPr>
                <w:color w:val="17365D" w:themeColor="text2" w:themeShade="BF"/>
                <w:sz w:val="28"/>
                <w:szCs w:val="28"/>
                <w:lang w:eastAsia="en-US"/>
              </w:rPr>
            </w:pPr>
            <w:r w:rsidRPr="00585102">
              <w:rPr>
                <w:color w:val="17365D" w:themeColor="text2" w:themeShade="BF"/>
                <w:sz w:val="28"/>
                <w:szCs w:val="28"/>
                <w:lang w:eastAsia="en-US"/>
              </w:rPr>
              <w:t>446,6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Pr="00585102" w:rsidRDefault="001B24B7">
            <w:pPr>
              <w:spacing w:line="276" w:lineRule="auto"/>
              <w:rPr>
                <w:color w:val="17365D" w:themeColor="text2" w:themeShade="BF"/>
                <w:sz w:val="28"/>
                <w:szCs w:val="28"/>
                <w:lang w:eastAsia="en-US"/>
              </w:rPr>
            </w:pPr>
            <w:r w:rsidRPr="00585102">
              <w:rPr>
                <w:color w:val="17365D" w:themeColor="text2" w:themeShade="BF"/>
                <w:sz w:val="28"/>
                <w:szCs w:val="28"/>
                <w:lang w:eastAsia="en-US"/>
              </w:rPr>
              <w:t>464,2</w:t>
            </w:r>
          </w:p>
        </w:tc>
      </w:tr>
      <w:tr w:rsidR="00036FEF" w:rsidTr="00036FEF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036FE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налоговые и неналоговые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04109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1B24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1B24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170.4</w:t>
            </w:r>
          </w:p>
        </w:tc>
      </w:tr>
      <w:tr w:rsidR="00036FEF" w:rsidTr="00036FEF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036FE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04109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1B24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296,3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Default="001B24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293,8</w:t>
            </w:r>
          </w:p>
        </w:tc>
      </w:tr>
      <w:tr w:rsidR="00036FEF" w:rsidTr="00036FEF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Pr="001B24B7" w:rsidRDefault="00036FEF">
            <w:pPr>
              <w:spacing w:line="276" w:lineRule="auto"/>
              <w:rPr>
                <w:b/>
                <w:color w:val="632423" w:themeColor="accent2" w:themeShade="80"/>
                <w:sz w:val="28"/>
                <w:szCs w:val="28"/>
                <w:lang w:eastAsia="en-US"/>
              </w:rPr>
            </w:pPr>
            <w:r w:rsidRPr="001B24B7">
              <w:rPr>
                <w:color w:val="632423" w:themeColor="accent2" w:themeShade="80"/>
                <w:sz w:val="28"/>
                <w:szCs w:val="28"/>
                <w:lang w:eastAsia="en-US"/>
              </w:rPr>
              <w:t xml:space="preserve">       </w:t>
            </w:r>
            <w:r w:rsidRPr="001B24B7">
              <w:rPr>
                <w:b/>
                <w:color w:val="632423" w:themeColor="accent2" w:themeShade="80"/>
                <w:sz w:val="28"/>
                <w:szCs w:val="28"/>
                <w:lang w:eastAsia="en-US"/>
              </w:rPr>
              <w:t xml:space="preserve">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Pr="001B24B7" w:rsidRDefault="0004109E">
            <w:pPr>
              <w:spacing w:line="276" w:lineRule="auto"/>
              <w:rPr>
                <w:color w:val="632423" w:themeColor="accent2" w:themeShade="80"/>
                <w:sz w:val="28"/>
                <w:szCs w:val="28"/>
                <w:lang w:eastAsia="en-US"/>
              </w:rPr>
            </w:pPr>
            <w:r w:rsidRPr="001B24B7">
              <w:rPr>
                <w:color w:val="632423" w:themeColor="accent2" w:themeShade="80"/>
                <w:sz w:val="28"/>
                <w:szCs w:val="28"/>
                <w:lang w:eastAsia="en-US"/>
              </w:rPr>
              <w:t>499,2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Pr="001B24B7" w:rsidRDefault="001B24B7">
            <w:pPr>
              <w:spacing w:line="276" w:lineRule="auto"/>
              <w:rPr>
                <w:color w:val="632423" w:themeColor="accent2" w:themeShade="80"/>
                <w:sz w:val="28"/>
                <w:szCs w:val="28"/>
                <w:lang w:eastAsia="en-US"/>
              </w:rPr>
            </w:pPr>
            <w:r w:rsidRPr="001B24B7">
              <w:rPr>
                <w:color w:val="632423" w:themeColor="accent2" w:themeShade="80"/>
                <w:sz w:val="28"/>
                <w:szCs w:val="28"/>
                <w:lang w:eastAsia="en-US"/>
              </w:rPr>
              <w:t>453,7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EF" w:rsidRPr="001B24B7" w:rsidRDefault="001B24B7">
            <w:pPr>
              <w:spacing w:line="276" w:lineRule="auto"/>
              <w:rPr>
                <w:color w:val="632423" w:themeColor="accent2" w:themeShade="80"/>
                <w:sz w:val="28"/>
                <w:szCs w:val="28"/>
                <w:lang w:eastAsia="en-US"/>
              </w:rPr>
            </w:pPr>
            <w:r w:rsidRPr="001B24B7">
              <w:rPr>
                <w:color w:val="632423" w:themeColor="accent2" w:themeShade="80"/>
                <w:sz w:val="28"/>
                <w:szCs w:val="28"/>
                <w:lang w:eastAsia="en-US"/>
              </w:rPr>
              <w:t>450,0</w:t>
            </w:r>
          </w:p>
        </w:tc>
      </w:tr>
    </w:tbl>
    <w:p w:rsidR="00036FEF" w:rsidRDefault="00036FEF" w:rsidP="001B24B7">
      <w:pPr>
        <w:spacing w:line="276" w:lineRule="auto"/>
        <w:jc w:val="both"/>
        <w:rPr>
          <w:sz w:val="28"/>
          <w:szCs w:val="28"/>
        </w:rPr>
      </w:pPr>
    </w:p>
    <w:p w:rsidR="001B24B7" w:rsidRPr="001B24B7" w:rsidRDefault="001B24B7" w:rsidP="001B24B7">
      <w:pPr>
        <w:spacing w:line="276" w:lineRule="auto"/>
        <w:ind w:firstLine="567"/>
        <w:jc w:val="both"/>
        <w:rPr>
          <w:sz w:val="32"/>
          <w:szCs w:val="32"/>
        </w:rPr>
      </w:pPr>
      <w:r w:rsidRPr="001B24B7">
        <w:rPr>
          <w:spacing w:val="4"/>
          <w:sz w:val="32"/>
          <w:szCs w:val="32"/>
        </w:rPr>
        <w:t xml:space="preserve">Объем поступлений налоговых и неналоговых доходов бюджета Брасовского муниципального района составил </w:t>
      </w:r>
      <w:r w:rsidR="00585102">
        <w:rPr>
          <w:spacing w:val="4"/>
          <w:sz w:val="32"/>
          <w:szCs w:val="32"/>
        </w:rPr>
        <w:t xml:space="preserve">170, 4млн. </w:t>
      </w:r>
      <w:r w:rsidRPr="001B24B7">
        <w:rPr>
          <w:spacing w:val="4"/>
          <w:sz w:val="32"/>
          <w:szCs w:val="32"/>
        </w:rPr>
        <w:t>рублей,</w:t>
      </w:r>
      <w:r w:rsidR="002B383D">
        <w:rPr>
          <w:spacing w:val="4"/>
          <w:sz w:val="32"/>
          <w:szCs w:val="32"/>
        </w:rPr>
        <w:t xml:space="preserve"> что выше уточненного плана на 20,1 млн.руб.</w:t>
      </w:r>
      <w:r w:rsidRPr="001B24B7">
        <w:rPr>
          <w:spacing w:val="4"/>
          <w:sz w:val="32"/>
          <w:szCs w:val="32"/>
        </w:rPr>
        <w:t xml:space="preserve"> </w:t>
      </w:r>
      <w:r w:rsidR="002B383D">
        <w:rPr>
          <w:spacing w:val="4"/>
          <w:sz w:val="32"/>
          <w:szCs w:val="32"/>
        </w:rPr>
        <w:t xml:space="preserve">и </w:t>
      </w:r>
      <w:r w:rsidRPr="001B24B7">
        <w:rPr>
          <w:spacing w:val="4"/>
          <w:sz w:val="32"/>
          <w:szCs w:val="32"/>
        </w:rPr>
        <w:t xml:space="preserve"> выше уро</w:t>
      </w:r>
      <w:r w:rsidR="00585102">
        <w:rPr>
          <w:spacing w:val="4"/>
          <w:sz w:val="32"/>
          <w:szCs w:val="32"/>
        </w:rPr>
        <w:t>вня прошлого года на 42,2  млн.</w:t>
      </w:r>
      <w:r w:rsidRPr="001B24B7">
        <w:rPr>
          <w:spacing w:val="4"/>
          <w:sz w:val="32"/>
          <w:szCs w:val="32"/>
        </w:rPr>
        <w:t xml:space="preserve"> рублей. Темп роста составил 132,9 %.</w:t>
      </w:r>
    </w:p>
    <w:p w:rsidR="00036FEF" w:rsidRDefault="00585102" w:rsidP="00036FEF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036FEF">
        <w:rPr>
          <w:sz w:val="32"/>
          <w:szCs w:val="32"/>
        </w:rPr>
        <w:t>Прирост со</w:t>
      </w:r>
      <w:r>
        <w:rPr>
          <w:sz w:val="32"/>
          <w:szCs w:val="32"/>
        </w:rPr>
        <w:t>бственных доходов  к уровню 2021</w:t>
      </w:r>
      <w:r w:rsidR="00036FEF">
        <w:rPr>
          <w:sz w:val="32"/>
          <w:szCs w:val="32"/>
        </w:rPr>
        <w:t xml:space="preserve"> года дал налог на дох</w:t>
      </w:r>
      <w:r>
        <w:rPr>
          <w:sz w:val="32"/>
          <w:szCs w:val="32"/>
        </w:rPr>
        <w:t>оды  физических лиц в объеме 36,9</w:t>
      </w:r>
      <w:r w:rsidR="007752B7">
        <w:rPr>
          <w:sz w:val="32"/>
          <w:szCs w:val="32"/>
        </w:rPr>
        <w:t xml:space="preserve"> млн.руб.</w:t>
      </w:r>
      <w:r w:rsidR="00036FEF">
        <w:rPr>
          <w:sz w:val="32"/>
          <w:szCs w:val="32"/>
        </w:rPr>
        <w:t xml:space="preserve"> и доходы  от</w:t>
      </w:r>
      <w:r>
        <w:rPr>
          <w:sz w:val="32"/>
          <w:szCs w:val="32"/>
        </w:rPr>
        <w:t xml:space="preserve"> продажи земельных участков 6,6</w:t>
      </w:r>
      <w:r w:rsidR="00036FEF">
        <w:rPr>
          <w:sz w:val="32"/>
          <w:szCs w:val="32"/>
        </w:rPr>
        <w:t xml:space="preserve"> млн.руб. </w:t>
      </w:r>
    </w:p>
    <w:p w:rsidR="00036FEF" w:rsidRDefault="00036FEF" w:rsidP="00036FEF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Об</w:t>
      </w:r>
      <w:r w:rsidR="007752B7">
        <w:rPr>
          <w:sz w:val="32"/>
          <w:szCs w:val="32"/>
        </w:rPr>
        <w:t xml:space="preserve">ъем собственных доходов на 86,3 % обеспечен  этими двумя </w:t>
      </w:r>
      <w:r>
        <w:rPr>
          <w:sz w:val="32"/>
          <w:szCs w:val="32"/>
        </w:rPr>
        <w:t>доходными источниками.</w:t>
      </w:r>
    </w:p>
    <w:p w:rsidR="007752B7" w:rsidRDefault="007752B7" w:rsidP="00036FEF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Рост  поступлений  по НДФЛ  сложился  по следующим </w:t>
      </w:r>
      <w:r w:rsidR="00F66DE2">
        <w:rPr>
          <w:sz w:val="32"/>
          <w:szCs w:val="32"/>
        </w:rPr>
        <w:t xml:space="preserve"> налогоплательщикам</w:t>
      </w:r>
      <w:proofErr w:type="gramStart"/>
      <w:r w:rsidR="00F66DE2">
        <w:rPr>
          <w:sz w:val="32"/>
          <w:szCs w:val="32"/>
        </w:rPr>
        <w:t xml:space="preserve"> :</w:t>
      </w:r>
      <w:proofErr w:type="gramEnd"/>
      <w:r w:rsidR="00F66DE2">
        <w:rPr>
          <w:sz w:val="32"/>
          <w:szCs w:val="32"/>
        </w:rPr>
        <w:t xml:space="preserve"> </w:t>
      </w:r>
      <w:proofErr w:type="gramStart"/>
      <w:r w:rsidR="00F66DE2">
        <w:rPr>
          <w:sz w:val="32"/>
          <w:szCs w:val="32"/>
        </w:rPr>
        <w:t>ООО «Дружба -2», ООО  «</w:t>
      </w:r>
      <w:proofErr w:type="spellStart"/>
      <w:r w:rsidR="00F66DE2">
        <w:rPr>
          <w:sz w:val="32"/>
          <w:szCs w:val="32"/>
        </w:rPr>
        <w:t>Брасовские</w:t>
      </w:r>
      <w:proofErr w:type="spellEnd"/>
      <w:r w:rsidR="00F66DE2">
        <w:rPr>
          <w:sz w:val="32"/>
          <w:szCs w:val="32"/>
        </w:rPr>
        <w:t xml:space="preserve">  сыры», ООО «</w:t>
      </w:r>
      <w:proofErr w:type="spellStart"/>
      <w:r w:rsidR="00F66DE2">
        <w:rPr>
          <w:sz w:val="32"/>
          <w:szCs w:val="32"/>
        </w:rPr>
        <w:t>Евротара</w:t>
      </w:r>
      <w:proofErr w:type="spellEnd"/>
      <w:r w:rsidR="00F66DE2">
        <w:rPr>
          <w:sz w:val="32"/>
          <w:szCs w:val="32"/>
        </w:rPr>
        <w:t>», ООО «Охотно», ООО «</w:t>
      </w:r>
      <w:proofErr w:type="spellStart"/>
      <w:r w:rsidR="00F66DE2">
        <w:rPr>
          <w:sz w:val="32"/>
          <w:szCs w:val="32"/>
        </w:rPr>
        <w:t>Сельхозник</w:t>
      </w:r>
      <w:proofErr w:type="spellEnd"/>
      <w:r w:rsidR="00F66DE2">
        <w:rPr>
          <w:sz w:val="32"/>
          <w:szCs w:val="32"/>
        </w:rPr>
        <w:t>».</w:t>
      </w:r>
      <w:proofErr w:type="gramEnd"/>
    </w:p>
    <w:p w:rsidR="00036FEF" w:rsidRDefault="00036FEF" w:rsidP="00036FEF">
      <w:pPr>
        <w:spacing w:line="276" w:lineRule="auto"/>
        <w:ind w:firstLine="426"/>
        <w:jc w:val="both"/>
        <w:rPr>
          <w:sz w:val="32"/>
          <w:szCs w:val="32"/>
        </w:rPr>
      </w:pPr>
      <w:r>
        <w:rPr>
          <w:rFonts w:eastAsiaTheme="minorHAnsi"/>
          <w:sz w:val="32"/>
          <w:szCs w:val="32"/>
          <w:lang w:eastAsia="en-US"/>
        </w:rPr>
        <w:t xml:space="preserve"> Наибольший удельный вес</w:t>
      </w:r>
      <w:proofErr w:type="gramStart"/>
      <w:r>
        <w:rPr>
          <w:rFonts w:eastAsiaTheme="minorHAnsi"/>
          <w:sz w:val="32"/>
          <w:szCs w:val="32"/>
          <w:lang w:eastAsia="en-US"/>
        </w:rPr>
        <w:t xml:space="preserve"> ,</w:t>
      </w:r>
      <w:proofErr w:type="gramEnd"/>
      <w:r>
        <w:rPr>
          <w:rFonts w:eastAsiaTheme="minorHAnsi"/>
          <w:sz w:val="32"/>
          <w:szCs w:val="32"/>
          <w:lang w:eastAsia="en-US"/>
        </w:rPr>
        <w:t xml:space="preserve"> по- прежнему, занимает налог на доходы физических лиц</w:t>
      </w:r>
      <w:r>
        <w:rPr>
          <w:sz w:val="32"/>
          <w:szCs w:val="32"/>
        </w:rPr>
        <w:t xml:space="preserve"> , его удельный вес в общем объеме собственн</w:t>
      </w:r>
      <w:r w:rsidR="00F66DE2">
        <w:rPr>
          <w:sz w:val="32"/>
          <w:szCs w:val="32"/>
        </w:rPr>
        <w:t xml:space="preserve">ых доходов бюджета составил 71,3 </w:t>
      </w:r>
      <w:r>
        <w:rPr>
          <w:sz w:val="32"/>
          <w:szCs w:val="32"/>
        </w:rPr>
        <w:t>%;</w:t>
      </w:r>
    </w:p>
    <w:p w:rsidR="00B747FC" w:rsidRPr="00B747FC" w:rsidRDefault="00B747FC" w:rsidP="00B747FC">
      <w:pPr>
        <w:spacing w:before="120"/>
        <w:ind w:right="-85" w:firstLine="720"/>
        <w:jc w:val="both"/>
        <w:rPr>
          <w:spacing w:val="4"/>
          <w:sz w:val="32"/>
          <w:szCs w:val="32"/>
        </w:rPr>
      </w:pPr>
      <w:r w:rsidRPr="00B747FC">
        <w:rPr>
          <w:spacing w:val="4"/>
          <w:sz w:val="32"/>
          <w:szCs w:val="32"/>
        </w:rPr>
        <w:lastRenderedPageBreak/>
        <w:t xml:space="preserve">Структура налоговых и неналоговых доходов представлена в диаграмме </w:t>
      </w:r>
    </w:p>
    <w:p w:rsidR="00B747FC" w:rsidRDefault="00B747FC" w:rsidP="00B747FC">
      <w:pPr>
        <w:spacing w:before="120"/>
        <w:ind w:right="-85" w:firstLine="720"/>
        <w:jc w:val="both"/>
        <w:rPr>
          <w:spacing w:val="4"/>
          <w:sz w:val="28"/>
          <w:szCs w:val="28"/>
        </w:rPr>
      </w:pPr>
    </w:p>
    <w:p w:rsidR="00036FEF" w:rsidRDefault="00036FEF" w:rsidP="00561A3B">
      <w:pPr>
        <w:spacing w:line="276" w:lineRule="auto"/>
        <w:ind w:firstLine="426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В результате проводимой работы направленной на мобилизацию доходов  в бюджет района,  дополнительно во все у</w:t>
      </w:r>
      <w:r w:rsidR="00046D3E">
        <w:rPr>
          <w:sz w:val="32"/>
          <w:szCs w:val="32"/>
        </w:rPr>
        <w:t xml:space="preserve">ровни бюджетов привлечено  </w:t>
      </w:r>
      <w:r w:rsidR="00046D3E">
        <w:rPr>
          <w:sz w:val="32"/>
          <w:szCs w:val="32"/>
        </w:rPr>
        <w:softHyphen/>
      </w:r>
      <w:r w:rsidR="00046D3E">
        <w:rPr>
          <w:sz w:val="32"/>
          <w:szCs w:val="32"/>
        </w:rPr>
        <w:softHyphen/>
        <w:t>4,1</w:t>
      </w:r>
      <w:r>
        <w:rPr>
          <w:sz w:val="32"/>
          <w:szCs w:val="32"/>
        </w:rPr>
        <w:t xml:space="preserve"> млн.руб., в том числе в бюджет ра</w:t>
      </w:r>
      <w:r w:rsidR="00046D3E">
        <w:rPr>
          <w:sz w:val="32"/>
          <w:szCs w:val="32"/>
        </w:rPr>
        <w:t>йона  2</w:t>
      </w:r>
      <w:r>
        <w:rPr>
          <w:sz w:val="32"/>
          <w:szCs w:val="32"/>
        </w:rPr>
        <w:t>,7 млн.руб.</w:t>
      </w:r>
    </w:p>
    <w:p w:rsidR="00036FEF" w:rsidRDefault="00036FEF" w:rsidP="00036FEF">
      <w:pPr>
        <w:shd w:val="clear" w:color="auto" w:fill="FFFFFF"/>
        <w:spacing w:line="276" w:lineRule="auto"/>
        <w:ind w:right="163" w:firstLine="709"/>
        <w:jc w:val="both"/>
        <w:rPr>
          <w:sz w:val="32"/>
          <w:szCs w:val="32"/>
        </w:rPr>
      </w:pPr>
      <w:r>
        <w:rPr>
          <w:sz w:val="32"/>
          <w:szCs w:val="32"/>
        </w:rPr>
        <w:t>Объем финансовой помощи из бюджета област</w:t>
      </w:r>
      <w:r w:rsidR="00046D3E">
        <w:rPr>
          <w:sz w:val="32"/>
          <w:szCs w:val="32"/>
        </w:rPr>
        <w:t>и в истекшем году составил 293,6</w:t>
      </w:r>
      <w:r>
        <w:rPr>
          <w:sz w:val="32"/>
          <w:szCs w:val="32"/>
        </w:rPr>
        <w:t xml:space="preserve"> млн.руб. </w:t>
      </w:r>
      <w:r w:rsidR="00B747FC">
        <w:rPr>
          <w:sz w:val="32"/>
          <w:szCs w:val="32"/>
        </w:rPr>
        <w:t xml:space="preserve"> </w:t>
      </w:r>
    </w:p>
    <w:p w:rsidR="00036FEF" w:rsidRDefault="00036FEF" w:rsidP="00036FEF">
      <w:pPr>
        <w:spacing w:line="276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Таким образом, общий объем доходов бюджета  с учетом  межбюджетных отношений   составил  </w:t>
      </w:r>
      <w:r w:rsidR="00B747FC">
        <w:rPr>
          <w:sz w:val="32"/>
          <w:szCs w:val="32"/>
        </w:rPr>
        <w:t>464,2</w:t>
      </w:r>
      <w:r>
        <w:rPr>
          <w:sz w:val="32"/>
          <w:szCs w:val="32"/>
        </w:rPr>
        <w:t xml:space="preserve"> млн. руб. </w:t>
      </w:r>
    </w:p>
    <w:p w:rsidR="00561A3B" w:rsidRDefault="00561A3B" w:rsidP="00036FEF">
      <w:pPr>
        <w:spacing w:line="276" w:lineRule="auto"/>
        <w:ind w:firstLine="720"/>
        <w:jc w:val="both"/>
        <w:rPr>
          <w:spacing w:val="-16"/>
          <w:sz w:val="32"/>
          <w:szCs w:val="32"/>
        </w:rPr>
      </w:pPr>
    </w:p>
    <w:p w:rsidR="00036FEF" w:rsidRDefault="00036FEF" w:rsidP="00036FEF">
      <w:pPr>
        <w:spacing w:line="276" w:lineRule="auto"/>
        <w:ind w:firstLine="720"/>
        <w:jc w:val="both"/>
        <w:rPr>
          <w:sz w:val="32"/>
          <w:szCs w:val="32"/>
        </w:rPr>
      </w:pPr>
      <w:r>
        <w:rPr>
          <w:spacing w:val="-16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</w:t>
      </w:r>
      <w:r>
        <w:rPr>
          <w:rFonts w:ascii="Cambria" w:hAnsi="Cambria"/>
          <w:kern w:val="16"/>
          <w:sz w:val="32"/>
          <w:szCs w:val="32"/>
        </w:rPr>
        <w:t xml:space="preserve">Полученные в бюджет ресурсы </w:t>
      </w:r>
      <w:r>
        <w:rPr>
          <w:kern w:val="16"/>
          <w:sz w:val="32"/>
          <w:szCs w:val="32"/>
        </w:rPr>
        <w:t xml:space="preserve">позволили исполнить расходную часть бюджета </w:t>
      </w:r>
      <w:r w:rsidR="00561A3B">
        <w:rPr>
          <w:sz w:val="32"/>
          <w:szCs w:val="32"/>
        </w:rPr>
        <w:t xml:space="preserve">   в сумме 450,0 млн. руб. при плане 453,6 млн. руб.  или на  99,2</w:t>
      </w:r>
      <w:r>
        <w:rPr>
          <w:sz w:val="32"/>
          <w:szCs w:val="32"/>
        </w:rPr>
        <w:t xml:space="preserve"> % к годовым назначениям. </w:t>
      </w:r>
    </w:p>
    <w:p w:rsidR="003E2C75" w:rsidRDefault="003E2C75" w:rsidP="00036FEF">
      <w:pPr>
        <w:spacing w:line="276" w:lineRule="auto"/>
        <w:ind w:firstLine="720"/>
        <w:jc w:val="both"/>
        <w:rPr>
          <w:sz w:val="32"/>
          <w:szCs w:val="32"/>
        </w:rPr>
      </w:pPr>
    </w:p>
    <w:p w:rsidR="003E2C75" w:rsidRDefault="003E2C75" w:rsidP="003E2C75">
      <w:pPr>
        <w:pStyle w:val="Default"/>
        <w:ind w:firstLine="567"/>
        <w:jc w:val="both"/>
        <w:rPr>
          <w:sz w:val="36"/>
          <w:szCs w:val="36"/>
        </w:rPr>
      </w:pPr>
      <w:r w:rsidRPr="00531780">
        <w:rPr>
          <w:sz w:val="32"/>
          <w:szCs w:val="32"/>
        </w:rPr>
        <w:t>В целях качественного и полного осуществления расходных обязательств за 2022 год  финансовым  отделом осуществлено 7 корректировок бюджета</w:t>
      </w:r>
      <w:r>
        <w:rPr>
          <w:sz w:val="36"/>
          <w:szCs w:val="36"/>
        </w:rPr>
        <w:t xml:space="preserve">. </w:t>
      </w:r>
    </w:p>
    <w:p w:rsidR="003E2C75" w:rsidRDefault="003E2C75" w:rsidP="00036FEF">
      <w:pPr>
        <w:spacing w:line="276" w:lineRule="auto"/>
        <w:ind w:firstLine="720"/>
        <w:jc w:val="both"/>
        <w:rPr>
          <w:sz w:val="32"/>
          <w:szCs w:val="32"/>
        </w:rPr>
      </w:pPr>
    </w:p>
    <w:p w:rsidR="00036FEF" w:rsidRPr="00561A3B" w:rsidRDefault="00036FEF" w:rsidP="00561A3B">
      <w:pPr>
        <w:spacing w:line="276" w:lineRule="auto"/>
        <w:ind w:left="142"/>
        <w:jc w:val="center"/>
        <w:rPr>
          <w:b/>
          <w:color w:val="632423" w:themeColor="accent2" w:themeShade="80"/>
          <w:sz w:val="36"/>
          <w:szCs w:val="36"/>
          <w:u w:val="single"/>
        </w:rPr>
      </w:pPr>
      <w:r w:rsidRPr="00561A3B">
        <w:rPr>
          <w:b/>
          <w:color w:val="632423" w:themeColor="accent2" w:themeShade="80"/>
          <w:sz w:val="36"/>
          <w:szCs w:val="36"/>
          <w:u w:val="single"/>
        </w:rPr>
        <w:t>Структура расходов бюджета Брасовского</w:t>
      </w:r>
    </w:p>
    <w:p w:rsidR="00036FEF" w:rsidRDefault="00561A3B" w:rsidP="00561A3B">
      <w:pPr>
        <w:spacing w:line="276" w:lineRule="auto"/>
        <w:ind w:left="142"/>
        <w:jc w:val="center"/>
        <w:rPr>
          <w:b/>
          <w:color w:val="632423" w:themeColor="accent2" w:themeShade="80"/>
          <w:sz w:val="36"/>
          <w:szCs w:val="36"/>
          <w:u w:val="single"/>
        </w:rPr>
      </w:pPr>
      <w:r>
        <w:rPr>
          <w:b/>
          <w:color w:val="632423" w:themeColor="accent2" w:themeShade="80"/>
          <w:sz w:val="36"/>
          <w:szCs w:val="36"/>
          <w:u w:val="single"/>
        </w:rPr>
        <w:t>района в 2022</w:t>
      </w:r>
      <w:r w:rsidR="00036FEF" w:rsidRPr="00561A3B">
        <w:rPr>
          <w:b/>
          <w:color w:val="632423" w:themeColor="accent2" w:themeShade="80"/>
          <w:sz w:val="36"/>
          <w:szCs w:val="36"/>
          <w:u w:val="single"/>
        </w:rPr>
        <w:t xml:space="preserve"> году в млн. рублей</w:t>
      </w:r>
    </w:p>
    <w:p w:rsidR="00561A3B" w:rsidRDefault="00561A3B" w:rsidP="00561A3B">
      <w:pPr>
        <w:spacing w:line="276" w:lineRule="auto"/>
        <w:ind w:left="142"/>
        <w:jc w:val="center"/>
        <w:rPr>
          <w:b/>
          <w:color w:val="632423" w:themeColor="accent2" w:themeShade="80"/>
          <w:sz w:val="36"/>
          <w:szCs w:val="36"/>
          <w:u w:val="single"/>
        </w:rPr>
      </w:pPr>
    </w:p>
    <w:p w:rsidR="00036FEF" w:rsidRDefault="00036FEF" w:rsidP="00036FEF">
      <w:pPr>
        <w:spacing w:line="276" w:lineRule="auto"/>
        <w:ind w:left="142"/>
        <w:jc w:val="both"/>
        <w:rPr>
          <w:b/>
          <w:i/>
          <w:sz w:val="36"/>
          <w:szCs w:val="36"/>
          <w:u w:val="single"/>
        </w:rPr>
      </w:pPr>
      <w:r>
        <w:rPr>
          <w:noProof/>
        </w:rPr>
        <w:drawing>
          <wp:inline distT="0" distB="0" distL="0" distR="0">
            <wp:extent cx="5362575" cy="281940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E2C75" w:rsidRPr="00531780" w:rsidRDefault="003E2C75" w:rsidP="003E2C75">
      <w:pPr>
        <w:pStyle w:val="Default"/>
        <w:ind w:firstLine="567"/>
        <w:jc w:val="both"/>
        <w:rPr>
          <w:sz w:val="32"/>
          <w:szCs w:val="32"/>
        </w:rPr>
      </w:pPr>
      <w:r w:rsidRPr="00531780">
        <w:rPr>
          <w:sz w:val="32"/>
          <w:szCs w:val="32"/>
        </w:rPr>
        <w:lastRenderedPageBreak/>
        <w:t>Бюджет  района  является социально ориентированным, наибольший удельный вес в структуре расходов занимают  отрасли социальной сферы–</w:t>
      </w:r>
      <w:r w:rsidR="00531780" w:rsidRPr="00531780">
        <w:rPr>
          <w:b/>
          <w:bCs/>
          <w:sz w:val="32"/>
          <w:szCs w:val="32"/>
        </w:rPr>
        <w:t>81</w:t>
      </w:r>
      <w:r w:rsidRPr="00531780">
        <w:rPr>
          <w:b/>
          <w:bCs/>
          <w:sz w:val="32"/>
          <w:szCs w:val="32"/>
        </w:rPr>
        <w:t>,0%</w:t>
      </w:r>
    </w:p>
    <w:p w:rsidR="003E2C75" w:rsidRPr="00531780" w:rsidRDefault="003E2C75" w:rsidP="003E2C75">
      <w:pPr>
        <w:pStyle w:val="Default"/>
        <w:ind w:firstLine="567"/>
        <w:jc w:val="both"/>
        <w:rPr>
          <w:sz w:val="32"/>
          <w:szCs w:val="32"/>
        </w:rPr>
      </w:pPr>
      <w:r w:rsidRPr="00531780">
        <w:rPr>
          <w:sz w:val="32"/>
          <w:szCs w:val="32"/>
        </w:rPr>
        <w:t xml:space="preserve">По итогам исполнения бюджета за </w:t>
      </w:r>
      <w:r w:rsidR="00531780" w:rsidRPr="00531780">
        <w:rPr>
          <w:b/>
          <w:bCs/>
          <w:sz w:val="32"/>
          <w:szCs w:val="32"/>
        </w:rPr>
        <w:t>2022</w:t>
      </w:r>
      <w:r w:rsidRPr="00531780">
        <w:rPr>
          <w:sz w:val="32"/>
          <w:szCs w:val="32"/>
        </w:rPr>
        <w:t xml:space="preserve">год программные мероприятия муниципальных программ социально-культурной сферы профинансированы в объеме </w:t>
      </w:r>
      <w:r w:rsidR="00531780" w:rsidRPr="00531780">
        <w:rPr>
          <w:b/>
          <w:bCs/>
          <w:sz w:val="32"/>
          <w:szCs w:val="32"/>
        </w:rPr>
        <w:t>364,7</w:t>
      </w:r>
      <w:r w:rsidRPr="00531780">
        <w:rPr>
          <w:b/>
          <w:bCs/>
          <w:sz w:val="32"/>
          <w:szCs w:val="32"/>
        </w:rPr>
        <w:t>млнруб</w:t>
      </w:r>
      <w:r w:rsidRPr="00531780">
        <w:rPr>
          <w:sz w:val="32"/>
          <w:szCs w:val="32"/>
        </w:rPr>
        <w:t>.</w:t>
      </w:r>
    </w:p>
    <w:p w:rsidR="00036FEF" w:rsidRDefault="00036FEF" w:rsidP="00036FEF">
      <w:pPr>
        <w:spacing w:line="276" w:lineRule="auto"/>
        <w:ind w:firstLine="567"/>
        <w:jc w:val="both"/>
        <w:rPr>
          <w:sz w:val="32"/>
          <w:szCs w:val="32"/>
        </w:rPr>
      </w:pPr>
    </w:p>
    <w:p w:rsidR="00036FEF" w:rsidRPr="00531780" w:rsidRDefault="00036FEF" w:rsidP="00036FEF">
      <w:pPr>
        <w:spacing w:line="276" w:lineRule="auto"/>
        <w:ind w:firstLine="567"/>
        <w:jc w:val="both"/>
        <w:rPr>
          <w:sz w:val="32"/>
          <w:szCs w:val="32"/>
        </w:rPr>
      </w:pPr>
      <w:r w:rsidRPr="00531780">
        <w:rPr>
          <w:sz w:val="32"/>
          <w:szCs w:val="32"/>
        </w:rPr>
        <w:t xml:space="preserve">Расходы на национальную экономику в общем объеме бюджета </w:t>
      </w:r>
      <w:r w:rsidR="00531780" w:rsidRPr="00531780">
        <w:rPr>
          <w:sz w:val="32"/>
          <w:szCs w:val="32"/>
        </w:rPr>
        <w:t>сост</w:t>
      </w:r>
      <w:r w:rsidR="009B708D">
        <w:rPr>
          <w:sz w:val="32"/>
          <w:szCs w:val="32"/>
        </w:rPr>
        <w:t>авили</w:t>
      </w:r>
      <w:r w:rsidR="00531780" w:rsidRPr="00531780">
        <w:rPr>
          <w:sz w:val="32"/>
          <w:szCs w:val="32"/>
        </w:rPr>
        <w:t xml:space="preserve"> 4,0 %, государственное управление 10,0 % и 5</w:t>
      </w:r>
      <w:r w:rsidRPr="00531780">
        <w:rPr>
          <w:sz w:val="32"/>
          <w:szCs w:val="32"/>
        </w:rPr>
        <w:t>% приходится на все прочие расходы.</w:t>
      </w:r>
    </w:p>
    <w:p w:rsidR="00036FEF" w:rsidRDefault="00036FEF" w:rsidP="00036FEF">
      <w:pPr>
        <w:tabs>
          <w:tab w:val="left" w:pos="567"/>
        </w:tabs>
        <w:ind w:firstLine="709"/>
        <w:jc w:val="both"/>
        <w:rPr>
          <w:rFonts w:ascii="Cambria" w:hAnsi="Cambria"/>
          <w:b/>
          <w:i/>
          <w:kern w:val="16"/>
          <w:sz w:val="28"/>
          <w:szCs w:val="28"/>
        </w:rPr>
      </w:pPr>
      <w:r>
        <w:rPr>
          <w:rFonts w:ascii="Cambria" w:hAnsi="Cambria"/>
          <w:b/>
          <w:i/>
          <w:kern w:val="16"/>
          <w:sz w:val="28"/>
          <w:szCs w:val="28"/>
        </w:rPr>
        <w:t>Итоги реализации «майских» указов Президента России.</w:t>
      </w:r>
    </w:p>
    <w:p w:rsidR="00036FEF" w:rsidRDefault="00036FEF" w:rsidP="00036FEF">
      <w:pPr>
        <w:tabs>
          <w:tab w:val="left" w:pos="567"/>
        </w:tabs>
        <w:ind w:firstLine="709"/>
        <w:jc w:val="both"/>
        <w:rPr>
          <w:rFonts w:ascii="Cambria" w:hAnsi="Cambria"/>
          <w:i/>
          <w:kern w:val="16"/>
          <w:sz w:val="28"/>
          <w:szCs w:val="28"/>
        </w:rPr>
      </w:pPr>
    </w:p>
    <w:p w:rsidR="00036FEF" w:rsidRPr="00FB7E01" w:rsidRDefault="009B708D" w:rsidP="00036FEF">
      <w:pPr>
        <w:spacing w:line="276" w:lineRule="auto"/>
        <w:ind w:firstLine="567"/>
        <w:jc w:val="both"/>
        <w:rPr>
          <w:kern w:val="16"/>
          <w:sz w:val="32"/>
          <w:szCs w:val="32"/>
        </w:rPr>
      </w:pPr>
      <w:r>
        <w:rPr>
          <w:kern w:val="16"/>
          <w:sz w:val="32"/>
          <w:szCs w:val="32"/>
        </w:rPr>
        <w:t xml:space="preserve">В истекшем </w:t>
      </w:r>
      <w:r w:rsidR="00036FEF" w:rsidRPr="00FB7E01">
        <w:rPr>
          <w:kern w:val="16"/>
          <w:sz w:val="32"/>
          <w:szCs w:val="32"/>
        </w:rPr>
        <w:t xml:space="preserve"> году достигнуты целевые показатели уровня среднемесячной заработной платы  в соответствии с  « дорожной картой» разработанной  в соответствии с « майскими» указами президента РФ в области образования, культуры, физической культуры и спорта</w:t>
      </w:r>
      <w:proofErr w:type="gramStart"/>
      <w:r w:rsidR="00036FEF" w:rsidRPr="00FB7E01">
        <w:rPr>
          <w:kern w:val="16"/>
          <w:sz w:val="32"/>
          <w:szCs w:val="32"/>
        </w:rPr>
        <w:t>.</w:t>
      </w:r>
      <w:proofErr w:type="gramEnd"/>
      <w:r w:rsidR="00FB7E01" w:rsidRPr="00FB7E01">
        <w:rPr>
          <w:kern w:val="16"/>
          <w:sz w:val="32"/>
          <w:szCs w:val="32"/>
        </w:rPr>
        <w:t xml:space="preserve"> (</w:t>
      </w:r>
      <w:proofErr w:type="gramStart"/>
      <w:r w:rsidR="00FB7E01" w:rsidRPr="00FB7E01">
        <w:rPr>
          <w:kern w:val="16"/>
          <w:sz w:val="32"/>
          <w:szCs w:val="32"/>
        </w:rPr>
        <w:t>д</w:t>
      </w:r>
      <w:proofErr w:type="gramEnd"/>
      <w:r w:rsidR="00FB7E01" w:rsidRPr="00FB7E01">
        <w:rPr>
          <w:kern w:val="16"/>
          <w:sz w:val="32"/>
          <w:szCs w:val="32"/>
        </w:rPr>
        <w:t>ошкольные -29907 руб., школы -30650 руб.,  дополнительное образование- 31393 руб.,  культура- 25912 руб.)</w:t>
      </w:r>
    </w:p>
    <w:p w:rsidR="00036FEF" w:rsidRDefault="00036FEF" w:rsidP="00036FEF">
      <w:pPr>
        <w:spacing w:line="276" w:lineRule="auto"/>
        <w:jc w:val="both"/>
        <w:rPr>
          <w:rFonts w:ascii="Cambria" w:hAnsi="Cambria"/>
          <w:kern w:val="16"/>
          <w:sz w:val="28"/>
          <w:szCs w:val="28"/>
        </w:rPr>
      </w:pPr>
    </w:p>
    <w:p w:rsidR="00036FEF" w:rsidRDefault="00036FEF" w:rsidP="00036FEF">
      <w:pPr>
        <w:spacing w:line="276" w:lineRule="auto"/>
        <w:jc w:val="both"/>
        <w:rPr>
          <w:rFonts w:ascii="Cambria" w:hAnsi="Cambria"/>
          <w:kern w:val="16"/>
          <w:sz w:val="28"/>
          <w:szCs w:val="28"/>
        </w:rPr>
      </w:pPr>
    </w:p>
    <w:p w:rsidR="00036FEF" w:rsidRDefault="00036FEF" w:rsidP="00036FEF">
      <w:pPr>
        <w:spacing w:line="276" w:lineRule="auto"/>
        <w:jc w:val="both"/>
        <w:rPr>
          <w:rFonts w:ascii="Cambria" w:hAnsi="Cambria"/>
          <w:kern w:val="16"/>
          <w:sz w:val="28"/>
          <w:szCs w:val="28"/>
        </w:rPr>
      </w:pPr>
    </w:p>
    <w:p w:rsidR="00036FEF" w:rsidRPr="00FB7E01" w:rsidRDefault="00036FEF" w:rsidP="00036FEF">
      <w:pPr>
        <w:spacing w:line="276" w:lineRule="auto"/>
        <w:jc w:val="both"/>
        <w:rPr>
          <w:b/>
          <w:color w:val="632423" w:themeColor="accent2" w:themeShade="80"/>
          <w:sz w:val="36"/>
          <w:szCs w:val="36"/>
          <w:u w:val="single"/>
        </w:rPr>
      </w:pPr>
      <w:r>
        <w:rPr>
          <w:rFonts w:ascii="Cambria" w:hAnsi="Cambria"/>
          <w:kern w:val="16"/>
          <w:sz w:val="28"/>
          <w:szCs w:val="28"/>
        </w:rPr>
        <w:t xml:space="preserve"> </w:t>
      </w:r>
      <w:r w:rsidRPr="00FB7E01">
        <w:rPr>
          <w:b/>
          <w:color w:val="632423" w:themeColor="accent2" w:themeShade="80"/>
          <w:sz w:val="36"/>
          <w:szCs w:val="36"/>
          <w:u w:val="single"/>
        </w:rPr>
        <w:t>Структура расходов  социального блока  бюджета</w:t>
      </w:r>
    </w:p>
    <w:p w:rsidR="00036FEF" w:rsidRPr="00FB7E01" w:rsidRDefault="00FB7E01" w:rsidP="00036FEF">
      <w:pPr>
        <w:spacing w:line="276" w:lineRule="auto"/>
        <w:jc w:val="both"/>
        <w:rPr>
          <w:b/>
          <w:color w:val="632423" w:themeColor="accent2" w:themeShade="80"/>
          <w:sz w:val="36"/>
          <w:szCs w:val="36"/>
          <w:u w:val="single"/>
        </w:rPr>
      </w:pPr>
      <w:r>
        <w:rPr>
          <w:b/>
          <w:color w:val="632423" w:themeColor="accent2" w:themeShade="80"/>
          <w:sz w:val="36"/>
          <w:szCs w:val="36"/>
          <w:u w:val="single"/>
        </w:rPr>
        <w:t xml:space="preserve">                 района за 2022</w:t>
      </w:r>
      <w:r w:rsidR="00036FEF" w:rsidRPr="00FB7E01">
        <w:rPr>
          <w:b/>
          <w:color w:val="632423" w:themeColor="accent2" w:themeShade="80"/>
          <w:sz w:val="36"/>
          <w:szCs w:val="36"/>
          <w:u w:val="single"/>
        </w:rPr>
        <w:t xml:space="preserve"> год в млн.</w:t>
      </w:r>
      <w:r>
        <w:rPr>
          <w:b/>
          <w:color w:val="632423" w:themeColor="accent2" w:themeShade="80"/>
          <w:sz w:val="36"/>
          <w:szCs w:val="36"/>
          <w:u w:val="single"/>
        </w:rPr>
        <w:t xml:space="preserve"> </w:t>
      </w:r>
      <w:r w:rsidR="00036FEF" w:rsidRPr="00FB7E01">
        <w:rPr>
          <w:b/>
          <w:color w:val="632423" w:themeColor="accent2" w:themeShade="80"/>
          <w:sz w:val="36"/>
          <w:szCs w:val="36"/>
          <w:u w:val="single"/>
        </w:rPr>
        <w:t>рублей</w:t>
      </w:r>
    </w:p>
    <w:p w:rsidR="00036FEF" w:rsidRDefault="00036FEF" w:rsidP="00036FEF">
      <w:pPr>
        <w:spacing w:line="276" w:lineRule="auto"/>
        <w:jc w:val="both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4914900" cy="2857500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36FEF" w:rsidRDefault="00036FEF" w:rsidP="00036FEF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 w:rsidR="007B63E4" w:rsidRDefault="00036FEF" w:rsidP="007B63E4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</w:t>
      </w:r>
      <w:r>
        <w:rPr>
          <w:sz w:val="36"/>
          <w:szCs w:val="36"/>
        </w:rPr>
        <w:t xml:space="preserve">    </w:t>
      </w:r>
      <w:r>
        <w:rPr>
          <w:sz w:val="32"/>
          <w:szCs w:val="32"/>
        </w:rPr>
        <w:t>Сегодня одна из приоритетных задач деятельности всех уровней власт</w:t>
      </w:r>
      <w:proofErr w:type="gramStart"/>
      <w:r>
        <w:rPr>
          <w:sz w:val="32"/>
          <w:szCs w:val="32"/>
        </w:rPr>
        <w:t>и-</w:t>
      </w:r>
      <w:proofErr w:type="gramEnd"/>
      <w:r w:rsidR="00405100">
        <w:rPr>
          <w:sz w:val="32"/>
          <w:szCs w:val="32"/>
        </w:rPr>
        <w:t xml:space="preserve"> </w:t>
      </w:r>
      <w:r>
        <w:rPr>
          <w:sz w:val="32"/>
          <w:szCs w:val="32"/>
        </w:rPr>
        <w:t>это реализация вопросов социальной политики.  Наиболее емкой отраслью</w:t>
      </w:r>
      <w:r w:rsidR="00405100">
        <w:rPr>
          <w:sz w:val="32"/>
          <w:szCs w:val="32"/>
        </w:rPr>
        <w:t xml:space="preserve"> остается отрасль «Образование»</w:t>
      </w:r>
      <w:r>
        <w:rPr>
          <w:sz w:val="32"/>
          <w:szCs w:val="32"/>
        </w:rPr>
        <w:t>. На обеспечение и развитие этой отрасли направлено</w:t>
      </w:r>
      <w:r w:rsidR="00006FD3">
        <w:rPr>
          <w:sz w:val="32"/>
          <w:szCs w:val="32"/>
        </w:rPr>
        <w:t xml:space="preserve"> 301,0 млн.</w:t>
      </w:r>
      <w:r w:rsidR="00405100">
        <w:rPr>
          <w:sz w:val="32"/>
          <w:szCs w:val="32"/>
        </w:rPr>
        <w:t xml:space="preserve"> </w:t>
      </w:r>
      <w:r w:rsidR="00006FD3">
        <w:rPr>
          <w:sz w:val="32"/>
          <w:szCs w:val="32"/>
        </w:rPr>
        <w:t>руб. или 65,9</w:t>
      </w:r>
      <w:r>
        <w:rPr>
          <w:sz w:val="32"/>
          <w:szCs w:val="32"/>
        </w:rPr>
        <w:t xml:space="preserve"> % всего годового объема бюджет</w:t>
      </w:r>
      <w:r w:rsidR="00104C29">
        <w:rPr>
          <w:sz w:val="32"/>
          <w:szCs w:val="32"/>
        </w:rPr>
        <w:t>а района</w:t>
      </w:r>
      <w:proofErr w:type="gramStart"/>
      <w:r w:rsidR="00104C29">
        <w:rPr>
          <w:sz w:val="32"/>
          <w:szCs w:val="32"/>
        </w:rPr>
        <w:t xml:space="preserve"> ,</w:t>
      </w:r>
      <w:proofErr w:type="gramEnd"/>
      <w:r w:rsidR="00104C29">
        <w:rPr>
          <w:sz w:val="32"/>
          <w:szCs w:val="32"/>
        </w:rPr>
        <w:t xml:space="preserve"> что  выше уровня 2021 года на  26,9</w:t>
      </w:r>
      <w:r w:rsidR="007B63E4">
        <w:rPr>
          <w:sz w:val="32"/>
          <w:szCs w:val="32"/>
        </w:rPr>
        <w:t xml:space="preserve"> млн.руб.</w:t>
      </w:r>
    </w:p>
    <w:p w:rsidR="007B63E4" w:rsidRPr="007B63E4" w:rsidRDefault="00036FEF" w:rsidP="007B63E4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Дополнительно в истекшем году было выделено из </w:t>
      </w:r>
      <w:r w:rsidRPr="007B63E4">
        <w:rPr>
          <w:sz w:val="32"/>
          <w:szCs w:val="32"/>
        </w:rPr>
        <w:t xml:space="preserve">бюджета области </w:t>
      </w:r>
      <w:r w:rsidR="00447998">
        <w:rPr>
          <w:sz w:val="32"/>
          <w:szCs w:val="32"/>
        </w:rPr>
        <w:t xml:space="preserve">денежных средств в объеме </w:t>
      </w:r>
      <w:r w:rsidR="007B63E4">
        <w:rPr>
          <w:sz w:val="32"/>
          <w:szCs w:val="32"/>
        </w:rPr>
        <w:t xml:space="preserve">   1,5 млн.руб. на замену</w:t>
      </w:r>
      <w:r w:rsidR="007B63E4" w:rsidRPr="007B63E4">
        <w:rPr>
          <w:sz w:val="32"/>
          <w:szCs w:val="32"/>
        </w:rPr>
        <w:t xml:space="preserve"> оконных блоков </w:t>
      </w:r>
      <w:r w:rsidR="009B708D">
        <w:rPr>
          <w:sz w:val="32"/>
          <w:szCs w:val="32"/>
        </w:rPr>
        <w:t xml:space="preserve">для </w:t>
      </w:r>
      <w:r w:rsidR="007B63E4" w:rsidRPr="007B63E4">
        <w:rPr>
          <w:sz w:val="32"/>
          <w:szCs w:val="32"/>
        </w:rPr>
        <w:t>муниципальн</w:t>
      </w:r>
      <w:r w:rsidR="007B63E4">
        <w:rPr>
          <w:sz w:val="32"/>
          <w:szCs w:val="32"/>
        </w:rPr>
        <w:t xml:space="preserve">ых образовательных учреждениях ; на </w:t>
      </w:r>
      <w:r w:rsidR="007B63E4" w:rsidRPr="007B63E4">
        <w:rPr>
          <w:sz w:val="32"/>
          <w:szCs w:val="32"/>
        </w:rPr>
        <w:t>создание цифров</w:t>
      </w:r>
      <w:r w:rsidR="00447998">
        <w:rPr>
          <w:sz w:val="32"/>
          <w:szCs w:val="32"/>
        </w:rPr>
        <w:t xml:space="preserve">ой образовательной среды </w:t>
      </w:r>
      <w:r w:rsidR="007B63E4" w:rsidRPr="007B63E4">
        <w:rPr>
          <w:sz w:val="32"/>
          <w:szCs w:val="32"/>
        </w:rPr>
        <w:t xml:space="preserve"> 366</w:t>
      </w:r>
      <w:r w:rsidR="007B63E4">
        <w:rPr>
          <w:sz w:val="32"/>
          <w:szCs w:val="32"/>
        </w:rPr>
        <w:t>,1  тыс. рублей</w:t>
      </w:r>
      <w:proofErr w:type="gramStart"/>
      <w:r w:rsidR="007B63E4">
        <w:rPr>
          <w:sz w:val="32"/>
          <w:szCs w:val="32"/>
        </w:rPr>
        <w:t xml:space="preserve"> </w:t>
      </w:r>
      <w:r w:rsidR="009B708D">
        <w:rPr>
          <w:sz w:val="32"/>
          <w:szCs w:val="32"/>
        </w:rPr>
        <w:t>,</w:t>
      </w:r>
      <w:proofErr w:type="gramEnd"/>
      <w:r w:rsidR="007B63E4">
        <w:rPr>
          <w:sz w:val="32"/>
          <w:szCs w:val="32"/>
        </w:rPr>
        <w:t xml:space="preserve"> на модернизацию</w:t>
      </w:r>
      <w:r w:rsidR="007B63E4" w:rsidRPr="007B63E4">
        <w:rPr>
          <w:sz w:val="32"/>
          <w:szCs w:val="32"/>
        </w:rPr>
        <w:t xml:space="preserve"> школ</w:t>
      </w:r>
      <w:r w:rsidR="007B63E4">
        <w:rPr>
          <w:sz w:val="32"/>
          <w:szCs w:val="32"/>
        </w:rPr>
        <w:t>ьных столовых в сумме 2055,3 тыс.</w:t>
      </w:r>
      <w:r w:rsidR="007B63E4" w:rsidRPr="007B63E4">
        <w:rPr>
          <w:sz w:val="32"/>
          <w:szCs w:val="32"/>
        </w:rPr>
        <w:t xml:space="preserve"> рублей;</w:t>
      </w:r>
      <w:r w:rsidR="007B63E4">
        <w:rPr>
          <w:sz w:val="32"/>
          <w:szCs w:val="32"/>
        </w:rPr>
        <w:t xml:space="preserve"> на </w:t>
      </w:r>
      <w:r w:rsidR="007B63E4" w:rsidRPr="007B63E4">
        <w:rPr>
          <w:sz w:val="32"/>
          <w:szCs w:val="32"/>
        </w:rPr>
        <w:t>капитальный ремонт кровель муниципальных общеобразо</w:t>
      </w:r>
      <w:r w:rsidR="007B63E4">
        <w:rPr>
          <w:sz w:val="32"/>
          <w:szCs w:val="32"/>
        </w:rPr>
        <w:t>вательных организаций-2850,0 тыс.</w:t>
      </w:r>
      <w:r w:rsidR="007B63E4" w:rsidRPr="007B63E4">
        <w:rPr>
          <w:sz w:val="32"/>
          <w:szCs w:val="32"/>
        </w:rPr>
        <w:t xml:space="preserve"> рублей;</w:t>
      </w:r>
    </w:p>
    <w:p w:rsidR="00036FEF" w:rsidRPr="000E7104" w:rsidRDefault="00036FEF" w:rsidP="007B63E4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Расходы на финансирование учр</w:t>
      </w:r>
      <w:r w:rsidR="007B63E4">
        <w:rPr>
          <w:sz w:val="32"/>
          <w:szCs w:val="32"/>
        </w:rPr>
        <w:t>еждений культуры  составили 51,2</w:t>
      </w:r>
      <w:r>
        <w:rPr>
          <w:sz w:val="32"/>
          <w:szCs w:val="32"/>
        </w:rPr>
        <w:t>млн</w:t>
      </w:r>
      <w:proofErr w:type="gramStart"/>
      <w:r>
        <w:rPr>
          <w:sz w:val="32"/>
          <w:szCs w:val="32"/>
        </w:rPr>
        <w:t>.р</w:t>
      </w:r>
      <w:proofErr w:type="gramEnd"/>
      <w:r>
        <w:rPr>
          <w:sz w:val="32"/>
          <w:szCs w:val="32"/>
        </w:rPr>
        <w:t>уб</w:t>
      </w:r>
      <w:r w:rsidRPr="000E7104">
        <w:rPr>
          <w:sz w:val="32"/>
          <w:szCs w:val="32"/>
        </w:rPr>
        <w:t xml:space="preserve">.     </w:t>
      </w:r>
      <w:r w:rsidR="000E7104" w:rsidRPr="000E7104">
        <w:rPr>
          <w:sz w:val="32"/>
          <w:szCs w:val="32"/>
        </w:rPr>
        <w:t xml:space="preserve">За счет средств областного бюджета выделены денежные средства  по сохранению культурного наследия в сумме 7720,2 тыс. рублей ( императорский маршрут), </w:t>
      </w:r>
      <w:r w:rsidRPr="000E7104">
        <w:rPr>
          <w:sz w:val="32"/>
          <w:szCs w:val="32"/>
        </w:rPr>
        <w:t xml:space="preserve">     </w:t>
      </w:r>
    </w:p>
    <w:p w:rsidR="00036FEF" w:rsidRDefault="00036FEF" w:rsidP="00036FEF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Объем средств  затраченных на реализацию мероприятий в сфере  «Со</w:t>
      </w:r>
      <w:r w:rsidR="000E7104">
        <w:rPr>
          <w:sz w:val="32"/>
          <w:szCs w:val="32"/>
        </w:rPr>
        <w:t>циальной политики» составил 9,8  млн. рублей.</w:t>
      </w:r>
      <w:r>
        <w:rPr>
          <w:sz w:val="32"/>
          <w:szCs w:val="32"/>
        </w:rPr>
        <w:t xml:space="preserve"> </w:t>
      </w:r>
    </w:p>
    <w:p w:rsidR="00036FEF" w:rsidRDefault="00036FEF" w:rsidP="00036FEF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Что же касается расходов на общегосударственные вопросы, то  их доля в общем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объеме расходов </w:t>
      </w:r>
      <w:r w:rsidR="000E7104">
        <w:rPr>
          <w:sz w:val="32"/>
          <w:szCs w:val="32"/>
        </w:rPr>
        <w:t>бюджета района  составляет 10</w:t>
      </w:r>
      <w:r>
        <w:rPr>
          <w:sz w:val="32"/>
          <w:szCs w:val="32"/>
        </w:rPr>
        <w:t xml:space="preserve"> %. </w:t>
      </w:r>
    </w:p>
    <w:p w:rsidR="00036FEF" w:rsidRDefault="000E7104" w:rsidP="009B708D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Уже  третий </w:t>
      </w:r>
      <w:r w:rsidR="00036FEF">
        <w:rPr>
          <w:sz w:val="32"/>
          <w:szCs w:val="32"/>
        </w:rPr>
        <w:t xml:space="preserve"> год подряд   объем поступивших налогов  во все уровни бюджетов  с территории нашего района  значительно превышает  начисленную  сумму н</w:t>
      </w:r>
      <w:r>
        <w:rPr>
          <w:sz w:val="32"/>
          <w:szCs w:val="32"/>
        </w:rPr>
        <w:t>алоговых доходов</w:t>
      </w:r>
      <w:proofErr w:type="gramStart"/>
      <w:r>
        <w:rPr>
          <w:sz w:val="32"/>
          <w:szCs w:val="32"/>
        </w:rPr>
        <w:t xml:space="preserve"> </w:t>
      </w:r>
      <w:r w:rsidR="00CB0F6B">
        <w:rPr>
          <w:sz w:val="32"/>
          <w:szCs w:val="32"/>
        </w:rPr>
        <w:t xml:space="preserve"> Э</w:t>
      </w:r>
      <w:proofErr w:type="gramEnd"/>
      <w:r w:rsidR="00CB0F6B">
        <w:rPr>
          <w:sz w:val="32"/>
          <w:szCs w:val="32"/>
        </w:rPr>
        <w:t>то говорит о том, что большинство  предприятий сработало</w:t>
      </w:r>
      <w:r w:rsidR="00036FEF">
        <w:rPr>
          <w:sz w:val="32"/>
          <w:szCs w:val="32"/>
        </w:rPr>
        <w:t xml:space="preserve"> более рентабельно, что позволило </w:t>
      </w:r>
      <w:r w:rsidR="00CB0F6B">
        <w:rPr>
          <w:sz w:val="32"/>
          <w:szCs w:val="32"/>
        </w:rPr>
        <w:t>снизить недоимку в</w:t>
      </w:r>
      <w:r w:rsidR="009B708D">
        <w:rPr>
          <w:sz w:val="32"/>
          <w:szCs w:val="32"/>
        </w:rPr>
        <w:t>о все уровни бюджетов на 7,3 млн.руб.</w:t>
      </w:r>
    </w:p>
    <w:p w:rsidR="00036FEF" w:rsidRDefault="00E474F6" w:rsidP="00036FEF">
      <w:pPr>
        <w:jc w:val="both"/>
        <w:rPr>
          <w:rFonts w:ascii="Cambria" w:hAnsi="Cambria"/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С</w:t>
      </w:r>
      <w:r w:rsidR="00036FEF">
        <w:rPr>
          <w:b/>
          <w:i/>
          <w:sz w:val="32"/>
          <w:szCs w:val="32"/>
        </w:rPr>
        <w:t>егодня</w:t>
      </w:r>
      <w:r w:rsidR="00036FEF">
        <w:rPr>
          <w:sz w:val="32"/>
          <w:szCs w:val="32"/>
        </w:rPr>
        <w:t xml:space="preserve"> </w:t>
      </w:r>
      <w:r w:rsidR="00036FEF">
        <w:rPr>
          <w:rFonts w:ascii="Cambria" w:hAnsi="Cambria"/>
          <w:b/>
          <w:i/>
          <w:sz w:val="32"/>
          <w:szCs w:val="32"/>
        </w:rPr>
        <w:t>подводя итоги</w:t>
      </w:r>
      <w:r>
        <w:rPr>
          <w:rFonts w:ascii="Cambria" w:hAnsi="Cambria"/>
          <w:b/>
          <w:i/>
          <w:sz w:val="32"/>
          <w:szCs w:val="32"/>
        </w:rPr>
        <w:t xml:space="preserve"> исполнения бюджета</w:t>
      </w:r>
      <w:proofErr w:type="gramStart"/>
      <w:r>
        <w:rPr>
          <w:rFonts w:ascii="Cambria" w:hAnsi="Cambria"/>
          <w:b/>
          <w:i/>
          <w:sz w:val="32"/>
          <w:szCs w:val="32"/>
        </w:rPr>
        <w:t xml:space="preserve"> ,</w:t>
      </w:r>
      <w:proofErr w:type="gramEnd"/>
      <w:r>
        <w:rPr>
          <w:rFonts w:ascii="Cambria" w:hAnsi="Cambria"/>
          <w:b/>
          <w:i/>
          <w:sz w:val="32"/>
          <w:szCs w:val="32"/>
        </w:rPr>
        <w:t xml:space="preserve"> можно сделать вывод, что </w:t>
      </w:r>
      <w:r w:rsidR="009B708D">
        <w:rPr>
          <w:rFonts w:ascii="Cambria" w:hAnsi="Cambria"/>
          <w:b/>
          <w:i/>
          <w:sz w:val="32"/>
          <w:szCs w:val="32"/>
        </w:rPr>
        <w:t>первостепенной</w:t>
      </w:r>
      <w:r w:rsidR="00FA3B6E">
        <w:rPr>
          <w:rFonts w:ascii="Cambria" w:hAnsi="Cambria"/>
          <w:b/>
          <w:i/>
          <w:sz w:val="32"/>
          <w:szCs w:val="32"/>
        </w:rPr>
        <w:t xml:space="preserve"> </w:t>
      </w:r>
      <w:r w:rsidR="00036FEF">
        <w:rPr>
          <w:rFonts w:ascii="Cambria" w:hAnsi="Cambria"/>
          <w:b/>
          <w:i/>
          <w:sz w:val="32"/>
          <w:szCs w:val="32"/>
        </w:rPr>
        <w:t xml:space="preserve"> задачей</w:t>
      </w:r>
      <w:r>
        <w:rPr>
          <w:rFonts w:ascii="Cambria" w:hAnsi="Cambria"/>
          <w:b/>
          <w:i/>
          <w:sz w:val="32"/>
          <w:szCs w:val="32"/>
        </w:rPr>
        <w:t xml:space="preserve">, является </w:t>
      </w:r>
      <w:r w:rsidR="00036FEF">
        <w:rPr>
          <w:rFonts w:ascii="Cambria" w:hAnsi="Cambria"/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 xml:space="preserve"> обеспечение</w:t>
      </w:r>
      <w:r w:rsidR="00036FEF">
        <w:rPr>
          <w:b/>
          <w:i/>
          <w:sz w:val="32"/>
          <w:szCs w:val="32"/>
        </w:rPr>
        <w:t xml:space="preserve"> роста налоговых и нена</w:t>
      </w:r>
      <w:r w:rsidR="00FA3B6E">
        <w:rPr>
          <w:b/>
          <w:i/>
          <w:sz w:val="32"/>
          <w:szCs w:val="32"/>
        </w:rPr>
        <w:t>логовых доходов  бюджета  , что позволит динамично развиваться бюджетной сфере нашего  района</w:t>
      </w:r>
      <w:r w:rsidR="00CB0F6B">
        <w:rPr>
          <w:b/>
          <w:i/>
          <w:sz w:val="32"/>
          <w:szCs w:val="32"/>
        </w:rPr>
        <w:t xml:space="preserve">, </w:t>
      </w:r>
      <w:r w:rsidR="009B708D">
        <w:rPr>
          <w:b/>
          <w:i/>
          <w:sz w:val="32"/>
          <w:szCs w:val="32"/>
        </w:rPr>
        <w:t xml:space="preserve"> не допускать появлени</w:t>
      </w:r>
      <w:r w:rsidR="00844185">
        <w:rPr>
          <w:b/>
          <w:i/>
          <w:sz w:val="32"/>
          <w:szCs w:val="32"/>
        </w:rPr>
        <w:t>я</w:t>
      </w:r>
      <w:r w:rsidR="009B708D">
        <w:rPr>
          <w:b/>
          <w:i/>
          <w:sz w:val="32"/>
          <w:szCs w:val="32"/>
        </w:rPr>
        <w:t xml:space="preserve"> кредиторской </w:t>
      </w:r>
      <w:r w:rsidR="00844185">
        <w:rPr>
          <w:b/>
          <w:i/>
          <w:sz w:val="32"/>
          <w:szCs w:val="32"/>
        </w:rPr>
        <w:t>задолженности и своевременно  осуществлять финансирование  первоочередных и социально значимых расходов.</w:t>
      </w:r>
    </w:p>
    <w:p w:rsidR="00036FEF" w:rsidRDefault="00036FEF" w:rsidP="00036FEF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Необходимо продолжить всем органам власти совместную работу в части:</w:t>
      </w:r>
    </w:p>
    <w:p w:rsidR="00FA3B6E" w:rsidRDefault="00FA3B6E" w:rsidP="00FA3B6E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>повышения уровня ответственности главных администраторов доходов за качественное прогнозирование и исполнение поступлений.</w:t>
      </w:r>
    </w:p>
    <w:p w:rsidR="00036FEF" w:rsidRDefault="00036FEF" w:rsidP="00036FEF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вовлечения в налоговый оборот объектов недвижимости, земельных участков, по которым отсутствуют характеристики, кадастровые номера и не оформлены права собственности;</w:t>
      </w:r>
    </w:p>
    <w:p w:rsidR="00036FEF" w:rsidRDefault="00036FEF" w:rsidP="00036FEF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сокращения задолженности по налогам и сборам, неналоговым доходам;</w:t>
      </w:r>
    </w:p>
    <w:p w:rsidR="00036FEF" w:rsidRDefault="00844185" w:rsidP="00036FEF">
      <w:pPr>
        <w:jc w:val="both"/>
        <w:rPr>
          <w:rFonts w:ascii="Cambria" w:hAnsi="Cambria"/>
          <w:b/>
          <w:i/>
          <w:sz w:val="32"/>
          <w:szCs w:val="32"/>
        </w:rPr>
      </w:pPr>
      <w:r>
        <w:rPr>
          <w:rFonts w:ascii="Cambria" w:hAnsi="Cambria"/>
          <w:b/>
          <w:i/>
          <w:sz w:val="32"/>
          <w:szCs w:val="32"/>
        </w:rPr>
        <w:t xml:space="preserve">        И конечн</w:t>
      </w:r>
      <w:proofErr w:type="gramStart"/>
      <w:r>
        <w:rPr>
          <w:rFonts w:ascii="Cambria" w:hAnsi="Cambria"/>
          <w:b/>
          <w:i/>
          <w:sz w:val="32"/>
          <w:szCs w:val="32"/>
        </w:rPr>
        <w:t>о</w:t>
      </w:r>
      <w:r w:rsidR="00036FEF">
        <w:rPr>
          <w:rFonts w:ascii="Cambria" w:hAnsi="Cambria"/>
          <w:b/>
          <w:i/>
          <w:sz w:val="32"/>
          <w:szCs w:val="32"/>
        </w:rPr>
        <w:t>-</w:t>
      </w:r>
      <w:proofErr w:type="gramEnd"/>
      <w:r w:rsidR="00036FEF">
        <w:rPr>
          <w:rFonts w:ascii="Cambria" w:hAnsi="Cambria"/>
          <w:b/>
          <w:i/>
          <w:sz w:val="32"/>
          <w:szCs w:val="32"/>
        </w:rPr>
        <w:t xml:space="preserve"> соблюдение условий получения межбюджетных трансфертов, установленных соглашениями   заключенными между Департаментом финансов Брянской о</w:t>
      </w:r>
      <w:r>
        <w:rPr>
          <w:rFonts w:ascii="Cambria" w:hAnsi="Cambria"/>
          <w:b/>
          <w:i/>
          <w:sz w:val="32"/>
          <w:szCs w:val="32"/>
        </w:rPr>
        <w:t>бласти и администрацией  района, что предотвратит снижение объема  финансирования межбюджетных трансфертов из  областного бюджета.</w:t>
      </w:r>
    </w:p>
    <w:p w:rsidR="00036FEF" w:rsidRDefault="00036FEF" w:rsidP="00036FEF">
      <w:pPr>
        <w:jc w:val="both"/>
        <w:rPr>
          <w:i/>
          <w:sz w:val="32"/>
          <w:szCs w:val="32"/>
        </w:rPr>
      </w:pPr>
    </w:p>
    <w:p w:rsidR="00036FEF" w:rsidRDefault="00036FEF" w:rsidP="00036FEF">
      <w:pPr>
        <w:spacing w:line="276" w:lineRule="auto"/>
        <w:ind w:firstLine="540"/>
        <w:rPr>
          <w:sz w:val="32"/>
          <w:szCs w:val="32"/>
        </w:rPr>
      </w:pPr>
    </w:p>
    <w:p w:rsidR="00036FEF" w:rsidRDefault="00036FEF" w:rsidP="00036FEF">
      <w:pPr>
        <w:spacing w:line="276" w:lineRule="auto"/>
        <w:ind w:firstLine="540"/>
        <w:rPr>
          <w:sz w:val="32"/>
          <w:szCs w:val="32"/>
        </w:rPr>
      </w:pPr>
    </w:p>
    <w:p w:rsidR="00036FEF" w:rsidRDefault="00036FEF" w:rsidP="00036FEF">
      <w:pPr>
        <w:spacing w:line="276" w:lineRule="auto"/>
        <w:ind w:firstLine="540"/>
        <w:rPr>
          <w:sz w:val="32"/>
          <w:szCs w:val="32"/>
        </w:rPr>
      </w:pPr>
    </w:p>
    <w:p w:rsidR="00036FEF" w:rsidRDefault="00036FEF" w:rsidP="00036FEF">
      <w:pPr>
        <w:spacing w:line="276" w:lineRule="auto"/>
        <w:ind w:firstLine="540"/>
        <w:rPr>
          <w:sz w:val="32"/>
          <w:szCs w:val="32"/>
        </w:rPr>
      </w:pPr>
    </w:p>
    <w:p w:rsidR="00036FEF" w:rsidRDefault="00036FEF" w:rsidP="00036FEF">
      <w:pPr>
        <w:shd w:val="clear" w:color="auto" w:fill="FFFFFF"/>
        <w:tabs>
          <w:tab w:val="left" w:pos="851"/>
          <w:tab w:val="center" w:pos="1134"/>
        </w:tabs>
        <w:spacing w:line="276" w:lineRule="auto"/>
        <w:jc w:val="both"/>
        <w:rPr>
          <w:sz w:val="32"/>
          <w:szCs w:val="32"/>
        </w:rPr>
      </w:pPr>
    </w:p>
    <w:p w:rsidR="00036FEF" w:rsidRDefault="00036FEF" w:rsidP="00036FEF">
      <w:pPr>
        <w:shd w:val="clear" w:color="auto" w:fill="FFFFFF"/>
        <w:tabs>
          <w:tab w:val="left" w:pos="851"/>
          <w:tab w:val="center" w:pos="1134"/>
        </w:tabs>
        <w:spacing w:line="276" w:lineRule="auto"/>
        <w:jc w:val="both"/>
        <w:rPr>
          <w:sz w:val="32"/>
          <w:szCs w:val="32"/>
        </w:rPr>
      </w:pPr>
    </w:p>
    <w:p w:rsidR="00036FEF" w:rsidRDefault="00036FEF" w:rsidP="00036FEF">
      <w:pPr>
        <w:shd w:val="clear" w:color="auto" w:fill="FFFFFF"/>
        <w:spacing w:before="10" w:line="276" w:lineRule="auto"/>
        <w:ind w:left="19" w:right="-58" w:firstLine="701"/>
        <w:jc w:val="both"/>
        <w:rPr>
          <w:sz w:val="32"/>
          <w:szCs w:val="32"/>
        </w:rPr>
      </w:pPr>
    </w:p>
    <w:p w:rsidR="00036FEF" w:rsidRDefault="00036FEF" w:rsidP="00036FEF">
      <w:pPr>
        <w:spacing w:line="276" w:lineRule="auto"/>
        <w:rPr>
          <w:sz w:val="32"/>
          <w:szCs w:val="32"/>
        </w:rPr>
      </w:pPr>
    </w:p>
    <w:p w:rsidR="00036FEF" w:rsidRDefault="00036FEF" w:rsidP="00036FEF"/>
    <w:p w:rsidR="00036FEF" w:rsidRDefault="00036FEF" w:rsidP="00036FEF"/>
    <w:p w:rsidR="00036FEF" w:rsidRDefault="00036FEF" w:rsidP="00036FEF"/>
    <w:p w:rsidR="00036FEF" w:rsidRDefault="00036FEF" w:rsidP="00036FEF"/>
    <w:p w:rsidR="00CA5CB2" w:rsidRDefault="00CA5CB2"/>
    <w:sectPr w:rsidR="00CA5CB2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FEF"/>
    <w:rsid w:val="00006FD3"/>
    <w:rsid w:val="000147A7"/>
    <w:rsid w:val="00036FEF"/>
    <w:rsid w:val="0004109E"/>
    <w:rsid w:val="00046D3E"/>
    <w:rsid w:val="0005427A"/>
    <w:rsid w:val="00077CE3"/>
    <w:rsid w:val="000A72C1"/>
    <w:rsid w:val="000B213D"/>
    <w:rsid w:val="000E2146"/>
    <w:rsid w:val="000E7104"/>
    <w:rsid w:val="000E7929"/>
    <w:rsid w:val="001019A9"/>
    <w:rsid w:val="0010303D"/>
    <w:rsid w:val="00104C29"/>
    <w:rsid w:val="0015706C"/>
    <w:rsid w:val="00160130"/>
    <w:rsid w:val="001A0F39"/>
    <w:rsid w:val="001B24B7"/>
    <w:rsid w:val="0020003A"/>
    <w:rsid w:val="00292C2B"/>
    <w:rsid w:val="002A587F"/>
    <w:rsid w:val="002B0928"/>
    <w:rsid w:val="002B383D"/>
    <w:rsid w:val="002B6518"/>
    <w:rsid w:val="002D13B6"/>
    <w:rsid w:val="002F2912"/>
    <w:rsid w:val="003453AA"/>
    <w:rsid w:val="003459F1"/>
    <w:rsid w:val="003E2C75"/>
    <w:rsid w:val="003F0A2B"/>
    <w:rsid w:val="00400153"/>
    <w:rsid w:val="00405100"/>
    <w:rsid w:val="00436859"/>
    <w:rsid w:val="00447998"/>
    <w:rsid w:val="00473595"/>
    <w:rsid w:val="004B7654"/>
    <w:rsid w:val="004D6315"/>
    <w:rsid w:val="00506E72"/>
    <w:rsid w:val="005075EB"/>
    <w:rsid w:val="00531780"/>
    <w:rsid w:val="00561A3B"/>
    <w:rsid w:val="00585102"/>
    <w:rsid w:val="005A45D8"/>
    <w:rsid w:val="005B703D"/>
    <w:rsid w:val="005D438F"/>
    <w:rsid w:val="005F4743"/>
    <w:rsid w:val="00621BD4"/>
    <w:rsid w:val="006752DD"/>
    <w:rsid w:val="00686400"/>
    <w:rsid w:val="006B2E7C"/>
    <w:rsid w:val="006C7C69"/>
    <w:rsid w:val="006D028C"/>
    <w:rsid w:val="006D1A7A"/>
    <w:rsid w:val="007317EF"/>
    <w:rsid w:val="0074422E"/>
    <w:rsid w:val="007752B7"/>
    <w:rsid w:val="007B63E4"/>
    <w:rsid w:val="007C44E3"/>
    <w:rsid w:val="007E573C"/>
    <w:rsid w:val="007E5CE2"/>
    <w:rsid w:val="007F5583"/>
    <w:rsid w:val="00822BA5"/>
    <w:rsid w:val="00844185"/>
    <w:rsid w:val="00881D4D"/>
    <w:rsid w:val="008A5AB1"/>
    <w:rsid w:val="008B0F6C"/>
    <w:rsid w:val="008E7601"/>
    <w:rsid w:val="0093548C"/>
    <w:rsid w:val="0094151B"/>
    <w:rsid w:val="009558F6"/>
    <w:rsid w:val="009B3861"/>
    <w:rsid w:val="009B708D"/>
    <w:rsid w:val="00A22DA2"/>
    <w:rsid w:val="00A45E79"/>
    <w:rsid w:val="00A50CB1"/>
    <w:rsid w:val="00A91389"/>
    <w:rsid w:val="00A942E7"/>
    <w:rsid w:val="00AC16C7"/>
    <w:rsid w:val="00B747FC"/>
    <w:rsid w:val="00B858D7"/>
    <w:rsid w:val="00BD0A30"/>
    <w:rsid w:val="00C564FB"/>
    <w:rsid w:val="00C72292"/>
    <w:rsid w:val="00CA5CB2"/>
    <w:rsid w:val="00CB0F6B"/>
    <w:rsid w:val="00CC6AF5"/>
    <w:rsid w:val="00CF2F6F"/>
    <w:rsid w:val="00D328F7"/>
    <w:rsid w:val="00DA70B9"/>
    <w:rsid w:val="00DB07C7"/>
    <w:rsid w:val="00DB7884"/>
    <w:rsid w:val="00DF334D"/>
    <w:rsid w:val="00E179D0"/>
    <w:rsid w:val="00E402BD"/>
    <w:rsid w:val="00E4695D"/>
    <w:rsid w:val="00E474F6"/>
    <w:rsid w:val="00E67CD3"/>
    <w:rsid w:val="00E711F8"/>
    <w:rsid w:val="00E7228D"/>
    <w:rsid w:val="00E73808"/>
    <w:rsid w:val="00E85232"/>
    <w:rsid w:val="00EA6039"/>
    <w:rsid w:val="00EB0247"/>
    <w:rsid w:val="00EB65C3"/>
    <w:rsid w:val="00EB68C9"/>
    <w:rsid w:val="00EC1316"/>
    <w:rsid w:val="00ED6D71"/>
    <w:rsid w:val="00EE0260"/>
    <w:rsid w:val="00EE5161"/>
    <w:rsid w:val="00EE7343"/>
    <w:rsid w:val="00F15175"/>
    <w:rsid w:val="00F176BC"/>
    <w:rsid w:val="00F21424"/>
    <w:rsid w:val="00F23B8B"/>
    <w:rsid w:val="00F513BB"/>
    <w:rsid w:val="00F51CAE"/>
    <w:rsid w:val="00F66DE2"/>
    <w:rsid w:val="00FA3B6E"/>
    <w:rsid w:val="00FB7E01"/>
    <w:rsid w:val="00FC0B6D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6F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36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F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6F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36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F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8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chart" Target="charts/chart2.xml"/><Relationship Id="rId5" Type="http://schemas.openxmlformats.org/officeDocument/2006/relationships/diagramData" Target="diagrams/data1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  <c:perspective val="30"/>
    </c:view3D>
    <c:floor>
      <c:thickness val="0"/>
    </c:floor>
    <c:sideWall>
      <c:thickness val="0"/>
      <c:spPr>
        <a:solidFill>
          <a:srgbClr val="C0C0C0"/>
        </a:solidFill>
        <a:ln w="12714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14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2782608695652173"/>
          <c:y val="0.20735785953177258"/>
          <c:w val="0.30782608695652175"/>
          <c:h val="0.5919732441471572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1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428">
                <a:noFill/>
              </a:ln>
            </c:spPr>
            <c:txPr>
              <a:bodyPr/>
              <a:lstStyle/>
              <a:p>
                <a:pPr>
                  <a:defRPr sz="1201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Sheet1!$B$1:$F$1</c:f>
              <c:strCache>
                <c:ptCount val="5"/>
                <c:pt idx="0">
                  <c:v>госуправление</c:v>
                </c:pt>
                <c:pt idx="1">
                  <c:v>нац.экономика</c:v>
                </c:pt>
                <c:pt idx="2">
                  <c:v>соц.сфера</c:v>
                </c:pt>
                <c:pt idx="3">
                  <c:v>трансферты</c:v>
                </c:pt>
                <c:pt idx="4">
                  <c:v>прочсие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44.8</c:v>
                </c:pt>
                <c:pt idx="1">
                  <c:v>6.9</c:v>
                </c:pt>
                <c:pt idx="2">
                  <c:v>364.7</c:v>
                </c:pt>
                <c:pt idx="3">
                  <c:v>13.7</c:v>
                </c:pt>
                <c:pt idx="4">
                  <c:v>19.899999999999999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1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госуправление</c:v>
                </c:pt>
                <c:pt idx="1">
                  <c:v>нац.экономика</c:v>
                </c:pt>
                <c:pt idx="2">
                  <c:v>соц.сфера</c:v>
                </c:pt>
                <c:pt idx="3">
                  <c:v>трансферты</c:v>
                </c:pt>
                <c:pt idx="4">
                  <c:v>прочсие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1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госуправление</c:v>
                </c:pt>
                <c:pt idx="1">
                  <c:v>нац.экономика</c:v>
                </c:pt>
                <c:pt idx="2">
                  <c:v>соц.сфера</c:v>
                </c:pt>
                <c:pt idx="3">
                  <c:v>трансферты</c:v>
                </c:pt>
                <c:pt idx="4">
                  <c:v>прочсие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76347826086956527"/>
          <c:y val="0.2976588628762542"/>
          <c:w val="0.21700675515027762"/>
          <c:h val="0.43481237142654466"/>
        </c:manualLayout>
      </c:layout>
      <c:overlay val="0"/>
      <c:spPr>
        <a:noFill/>
        <a:ln w="3179">
          <a:solidFill>
            <a:srgbClr val="000000"/>
          </a:solidFill>
          <a:prstDash val="solid"/>
        </a:ln>
      </c:spPr>
      <c:txPr>
        <a:bodyPr/>
        <a:lstStyle/>
        <a:p>
          <a:pPr>
            <a:defRPr sz="1101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20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  <c:perspective val="30"/>
    </c:view3D>
    <c:floor>
      <c:thickness val="0"/>
    </c:floor>
    <c:sideWall>
      <c:thickness val="0"/>
      <c:spPr>
        <a:solidFill>
          <a:srgbClr val="C0C0C0"/>
        </a:solidFill>
        <a:ln w="12652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652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0338983050847459"/>
          <c:y val="0.21345029239766081"/>
          <c:w val="0.33559322033898303"/>
          <c:h val="0.5789473684210526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05">
                <a:noFill/>
              </a:ln>
            </c:spPr>
            <c:txPr>
              <a:bodyPr/>
              <a:lstStyle/>
              <a:p>
                <a:pPr>
                  <a:defRPr sz="149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соцполитика</c:v>
                </c:pt>
                <c:pt idx="3">
                  <c:v>физкультура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301</c:v>
                </c:pt>
                <c:pt idx="1">
                  <c:v>51.2</c:v>
                </c:pt>
                <c:pt idx="2">
                  <c:v>9.8000000000000007</c:v>
                </c:pt>
                <c:pt idx="3">
                  <c:v>2.7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соцполитика</c:v>
                </c:pt>
                <c:pt idx="3">
                  <c:v>физкультура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соцполитика</c:v>
                </c:pt>
                <c:pt idx="3">
                  <c:v>физкультура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spPr>
        <a:noFill/>
        <a:ln w="3163">
          <a:solidFill>
            <a:srgbClr val="000000"/>
          </a:solidFill>
          <a:prstDash val="solid"/>
        </a:ln>
      </c:spPr>
      <c:txPr>
        <a:bodyPr/>
        <a:lstStyle/>
        <a:p>
          <a:pPr>
            <a:defRPr sz="137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49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F2FCD9-460D-4981-9AFA-F2AFAD0CBA08}" type="doc">
      <dgm:prSet loTypeId="urn:microsoft.com/office/officeart/2005/8/layout/pyramid2" loCatId="pyramid" qsTypeId="urn:microsoft.com/office/officeart/2005/8/quickstyle/simple1" qsCatId="simple" csTypeId="urn:microsoft.com/office/officeart/2005/8/colors/accent1_2" csCatId="accent1" phldr="1"/>
      <dgm:spPr/>
    </dgm:pt>
    <dgm:pt modelId="{D27B4726-522D-4FA4-A173-8257C5871D59}">
      <dgm:prSet custT="1"/>
      <dgm:spPr/>
      <dgm:t>
        <a:bodyPr/>
        <a:lstStyle/>
        <a:p>
          <a:r>
            <a:rPr lang="ru-RU" sz="1000" b="1">
              <a:solidFill>
                <a:schemeClr val="accent2">
                  <a:lumMod val="50000"/>
                </a:schemeClr>
              </a:solidFill>
            </a:rPr>
            <a:t>Финансовое обеспечение действующих и принимемых расходных обязательств</a:t>
          </a:r>
        </a:p>
      </dgm:t>
    </dgm:pt>
    <dgm:pt modelId="{B8B3FFAF-A877-4D9D-8162-4F0520C37F9F}" type="parTrans" cxnId="{2730A910-77E9-413B-A2C4-BF6F8EFC6CEC}">
      <dgm:prSet/>
      <dgm:spPr/>
      <dgm:t>
        <a:bodyPr/>
        <a:lstStyle/>
        <a:p>
          <a:endParaRPr lang="ru-RU"/>
        </a:p>
      </dgm:t>
    </dgm:pt>
    <dgm:pt modelId="{948B42D8-154D-4044-A5F9-B463796E3E8C}" type="sibTrans" cxnId="{2730A910-77E9-413B-A2C4-BF6F8EFC6CEC}">
      <dgm:prSet/>
      <dgm:spPr/>
      <dgm:t>
        <a:bodyPr/>
        <a:lstStyle/>
        <a:p>
          <a:endParaRPr lang="ru-RU"/>
        </a:p>
      </dgm:t>
    </dgm:pt>
    <dgm:pt modelId="{DC30EF51-0EB8-4BCA-BFF7-40BFDA19E916}">
      <dgm:prSet custT="1"/>
      <dgm:spPr/>
      <dgm:t>
        <a:bodyPr/>
        <a:lstStyle/>
        <a:p>
          <a:r>
            <a:rPr lang="ru-RU" sz="1000" b="1"/>
            <a:t> </a:t>
          </a:r>
          <a:r>
            <a:rPr lang="ru-RU" sz="1000" b="1">
              <a:solidFill>
                <a:schemeClr val="accent2">
                  <a:lumMod val="50000"/>
                </a:schemeClr>
              </a:solidFill>
            </a:rPr>
            <a:t>Обеспечение прозрачности муниципальных финансов и открытости бюджетного процесса для граждан</a:t>
          </a:r>
        </a:p>
      </dgm:t>
    </dgm:pt>
    <dgm:pt modelId="{33B861D4-420C-4018-90DF-3D44ED737C53}" type="parTrans" cxnId="{7A6FBEBC-912B-40C0-9DD0-CE460CFE3C88}">
      <dgm:prSet/>
      <dgm:spPr/>
      <dgm:t>
        <a:bodyPr/>
        <a:lstStyle/>
        <a:p>
          <a:endParaRPr lang="ru-RU"/>
        </a:p>
      </dgm:t>
    </dgm:pt>
    <dgm:pt modelId="{94FF2B88-25C7-41ED-9A09-03BECA6B4708}" type="sibTrans" cxnId="{7A6FBEBC-912B-40C0-9DD0-CE460CFE3C88}">
      <dgm:prSet/>
      <dgm:spPr/>
      <dgm:t>
        <a:bodyPr/>
        <a:lstStyle/>
        <a:p>
          <a:endParaRPr lang="ru-RU"/>
        </a:p>
      </dgm:t>
    </dgm:pt>
    <dgm:pt modelId="{AB3C49C7-AA5D-436E-BCE9-86E49A545976}">
      <dgm:prSet custT="1"/>
      <dgm:spPr/>
      <dgm:t>
        <a:bodyPr/>
        <a:lstStyle/>
        <a:p>
          <a:r>
            <a:rPr lang="ru-RU" sz="1000" b="1">
              <a:solidFill>
                <a:schemeClr val="accent2">
                  <a:lumMod val="50000"/>
                </a:schemeClr>
              </a:solidFill>
            </a:rPr>
            <a:t>Повышение эффективности бюджетных расходов</a:t>
          </a:r>
        </a:p>
      </dgm:t>
    </dgm:pt>
    <dgm:pt modelId="{E6ABF399-F410-46AD-BF0E-C952E76EF266}" type="parTrans" cxnId="{AA9F8906-5F31-4562-98CD-91FD5E9424BF}">
      <dgm:prSet/>
      <dgm:spPr/>
      <dgm:t>
        <a:bodyPr/>
        <a:lstStyle/>
        <a:p>
          <a:endParaRPr lang="ru-RU"/>
        </a:p>
      </dgm:t>
    </dgm:pt>
    <dgm:pt modelId="{5F636E3B-5BFF-452D-A3E6-1247045430B4}" type="sibTrans" cxnId="{AA9F8906-5F31-4562-98CD-91FD5E9424BF}">
      <dgm:prSet/>
      <dgm:spPr/>
      <dgm:t>
        <a:bodyPr/>
        <a:lstStyle/>
        <a:p>
          <a:endParaRPr lang="ru-RU"/>
        </a:p>
      </dgm:t>
    </dgm:pt>
    <dgm:pt modelId="{AD028951-0A0F-41A5-AF3F-1DD00C5876C5}">
      <dgm:prSet custT="1"/>
      <dgm:spPr/>
      <dgm:t>
        <a:bodyPr/>
        <a:lstStyle/>
        <a:p>
          <a:r>
            <a:rPr lang="ru-RU" sz="1000" b="1">
              <a:solidFill>
                <a:schemeClr val="accent2">
                  <a:lumMod val="50000"/>
                </a:schemeClr>
              </a:solidFill>
            </a:rPr>
            <a:t>Сохранение финансовой устойчивости и  сбалансированности бюджета района</a:t>
          </a:r>
          <a:endParaRPr lang="ru-RU" sz="1000">
            <a:solidFill>
              <a:schemeClr val="accent2">
                <a:lumMod val="50000"/>
              </a:schemeClr>
            </a:solidFill>
          </a:endParaRPr>
        </a:p>
      </dgm:t>
    </dgm:pt>
    <dgm:pt modelId="{9ACA3CE8-BFAB-4451-9637-A5693129427B}" type="parTrans" cxnId="{6632EF84-5E9E-4EBF-9F75-1A22E44D7B26}">
      <dgm:prSet/>
      <dgm:spPr/>
      <dgm:t>
        <a:bodyPr/>
        <a:lstStyle/>
        <a:p>
          <a:endParaRPr lang="ru-RU"/>
        </a:p>
      </dgm:t>
    </dgm:pt>
    <dgm:pt modelId="{82642C4B-DFC0-48FA-8036-EFC60557BF95}" type="sibTrans" cxnId="{6632EF84-5E9E-4EBF-9F75-1A22E44D7B26}">
      <dgm:prSet/>
      <dgm:spPr/>
      <dgm:t>
        <a:bodyPr/>
        <a:lstStyle/>
        <a:p>
          <a:endParaRPr lang="ru-RU"/>
        </a:p>
      </dgm:t>
    </dgm:pt>
    <dgm:pt modelId="{83F74D8B-55FA-476A-8933-D10DC018AEDE}">
      <dgm:prSet phldrT="[Текст]" custT="1"/>
      <dgm:spPr/>
      <dgm:t>
        <a:bodyPr/>
        <a:lstStyle/>
        <a:p>
          <a:r>
            <a:rPr lang="ru-RU" sz="1000" b="1">
              <a:solidFill>
                <a:schemeClr val="accent2">
                  <a:lumMod val="50000"/>
                </a:schemeClr>
              </a:solidFill>
            </a:rPr>
            <a:t>Исполнение</a:t>
          </a:r>
          <a:r>
            <a:rPr lang="ru-RU" sz="1000" b="1" baseline="0">
              <a:solidFill>
                <a:schemeClr val="accent2">
                  <a:lumMod val="50000"/>
                </a:schemeClr>
              </a:solidFill>
            </a:rPr>
            <a:t> расходной части  бюджета  с учетом  реализации новых инвестиционных проектов</a:t>
          </a:r>
          <a:endParaRPr lang="ru-RU" sz="1000" b="1">
            <a:solidFill>
              <a:schemeClr val="accent2">
                <a:lumMod val="50000"/>
              </a:schemeClr>
            </a:solidFill>
          </a:endParaRPr>
        </a:p>
      </dgm:t>
    </dgm:pt>
    <dgm:pt modelId="{0CB82221-6D36-4670-B9C5-DD005FE4FD89}" type="sibTrans" cxnId="{33ABE344-9EAB-41D3-8BD9-C05641410D1C}">
      <dgm:prSet/>
      <dgm:spPr/>
      <dgm:t>
        <a:bodyPr/>
        <a:lstStyle/>
        <a:p>
          <a:endParaRPr lang="ru-RU"/>
        </a:p>
      </dgm:t>
    </dgm:pt>
    <dgm:pt modelId="{A720D7C3-1396-4B66-B544-25EC3B2E3016}" type="parTrans" cxnId="{33ABE344-9EAB-41D3-8BD9-C05641410D1C}">
      <dgm:prSet/>
      <dgm:spPr/>
      <dgm:t>
        <a:bodyPr/>
        <a:lstStyle/>
        <a:p>
          <a:endParaRPr lang="ru-RU"/>
        </a:p>
      </dgm:t>
    </dgm:pt>
    <dgm:pt modelId="{B3518B9F-2E80-48D4-8122-EA5DD3278025}" type="pres">
      <dgm:prSet presAssocID="{F7F2FCD9-460D-4981-9AFA-F2AFAD0CBA08}" presName="compositeShape" presStyleCnt="0">
        <dgm:presLayoutVars>
          <dgm:dir/>
          <dgm:resizeHandles/>
        </dgm:presLayoutVars>
      </dgm:prSet>
      <dgm:spPr/>
    </dgm:pt>
    <dgm:pt modelId="{E873FF33-FBC2-4C41-8E76-62DB4E9C0BE2}" type="pres">
      <dgm:prSet presAssocID="{F7F2FCD9-460D-4981-9AFA-F2AFAD0CBA08}" presName="pyramid" presStyleLbl="node1" presStyleIdx="0" presStyleCnt="1" custScaleX="130476"/>
      <dgm:spPr>
        <a:prstGeom prst="horizontalScroll">
          <a:avLst/>
        </a:prstGeom>
        <a:solidFill>
          <a:schemeClr val="accent6">
            <a:lumMod val="75000"/>
          </a:schemeClr>
        </a:solidFill>
      </dgm:spPr>
    </dgm:pt>
    <dgm:pt modelId="{318CE8AC-A1C2-4371-95EF-2D5F96F3C8D3}" type="pres">
      <dgm:prSet presAssocID="{F7F2FCD9-460D-4981-9AFA-F2AFAD0CBA08}" presName="theList" presStyleCnt="0"/>
      <dgm:spPr/>
    </dgm:pt>
    <dgm:pt modelId="{AF4D5322-37BF-421E-B331-BE1A4D6F66D3}" type="pres">
      <dgm:prSet presAssocID="{AD028951-0A0F-41A5-AF3F-1DD00C5876C5}" presName="aNode" presStyleLbl="fgAcc1" presStyleIdx="0" presStyleCnt="5" custScaleX="143224" custScaleY="182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3C2024E-37C3-4AEB-B157-1D6165884EAB}" type="pres">
      <dgm:prSet presAssocID="{AD028951-0A0F-41A5-AF3F-1DD00C5876C5}" presName="aSpace" presStyleCnt="0"/>
      <dgm:spPr/>
    </dgm:pt>
    <dgm:pt modelId="{73350EEC-88E8-4855-89CB-BD3BC756B61C}" type="pres">
      <dgm:prSet presAssocID="{D27B4726-522D-4FA4-A173-8257C5871D59}" presName="aNode" presStyleLbl="fgAcc1" presStyleIdx="1" presStyleCnt="5" custScaleX="141575" custScaleY="182625" custLinFactNeighborX="-1374" custLinFactNeighborY="2980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AF4CDDF-C38F-45EB-8144-9BB401C91DB4}" type="pres">
      <dgm:prSet presAssocID="{D27B4726-522D-4FA4-A173-8257C5871D59}" presName="aSpace" presStyleCnt="0"/>
      <dgm:spPr/>
    </dgm:pt>
    <dgm:pt modelId="{15054FA6-07F3-4AD2-9132-408F4CB1EEFB}" type="pres">
      <dgm:prSet presAssocID="{DC30EF51-0EB8-4BCA-BFF7-40BFDA19E916}" presName="aNode" presStyleLbl="fgAcc1" presStyleIdx="2" presStyleCnt="5" custScaleX="142491" custScaleY="15526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0ED5A0A-FAFD-4083-9702-AD0191403F65}" type="pres">
      <dgm:prSet presAssocID="{DC30EF51-0EB8-4BCA-BFF7-40BFDA19E916}" presName="aSpace" presStyleCnt="0"/>
      <dgm:spPr/>
    </dgm:pt>
    <dgm:pt modelId="{41D9C6F1-BA46-4E96-AF87-650915C18D02}" type="pres">
      <dgm:prSet presAssocID="{AB3C49C7-AA5D-436E-BCE9-86E49A545976}" presName="aNode" presStyleLbl="fgAcc1" presStyleIdx="3" presStyleCnt="5" custScaleX="140659" custLinFactNeighborX="458" custLinFactNeighborY="201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85EFD9C-0CF0-4904-B036-F584A14F98EB}" type="pres">
      <dgm:prSet presAssocID="{AB3C49C7-AA5D-436E-BCE9-86E49A545976}" presName="aSpace" presStyleCnt="0"/>
      <dgm:spPr/>
    </dgm:pt>
    <dgm:pt modelId="{C39156B0-2788-4446-9CD1-56191DFF5C91}" type="pres">
      <dgm:prSet presAssocID="{83F74D8B-55FA-476A-8933-D10DC018AEDE}" presName="aNode" presStyleLbl="fgAcc1" presStyleIdx="4" presStyleCnt="5" custScaleX="152929" custScaleY="106107" custLinFactY="-17490" custLinFactNeighborX="5952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651E2CC-C167-4DA1-BAB8-2B39579A9F39}" type="pres">
      <dgm:prSet presAssocID="{83F74D8B-55FA-476A-8933-D10DC018AEDE}" presName="aSpace" presStyleCnt="0"/>
      <dgm:spPr/>
    </dgm:pt>
  </dgm:ptLst>
  <dgm:cxnLst>
    <dgm:cxn modelId="{B6900A69-FE81-4844-997E-0774DFAD3A8A}" type="presOf" srcId="{D27B4726-522D-4FA4-A173-8257C5871D59}" destId="{73350EEC-88E8-4855-89CB-BD3BC756B61C}" srcOrd="0" destOrd="0" presId="urn:microsoft.com/office/officeart/2005/8/layout/pyramid2"/>
    <dgm:cxn modelId="{F732F2E3-7E87-47E3-9D6D-9FDEA6E3BB7C}" type="presOf" srcId="{AB3C49C7-AA5D-436E-BCE9-86E49A545976}" destId="{41D9C6F1-BA46-4E96-AF87-650915C18D02}" srcOrd="0" destOrd="0" presId="urn:microsoft.com/office/officeart/2005/8/layout/pyramid2"/>
    <dgm:cxn modelId="{0C507D40-F4E0-4F2B-96B0-B0DC47AC045A}" type="presOf" srcId="{F7F2FCD9-460D-4981-9AFA-F2AFAD0CBA08}" destId="{B3518B9F-2E80-48D4-8122-EA5DD3278025}" srcOrd="0" destOrd="0" presId="urn:microsoft.com/office/officeart/2005/8/layout/pyramid2"/>
    <dgm:cxn modelId="{6632EF84-5E9E-4EBF-9F75-1A22E44D7B26}" srcId="{F7F2FCD9-460D-4981-9AFA-F2AFAD0CBA08}" destId="{AD028951-0A0F-41A5-AF3F-1DD00C5876C5}" srcOrd="0" destOrd="0" parTransId="{9ACA3CE8-BFAB-4451-9637-A5693129427B}" sibTransId="{82642C4B-DFC0-48FA-8036-EFC60557BF95}"/>
    <dgm:cxn modelId="{B38D46D5-531E-428F-9345-C4AD3093A51F}" type="presOf" srcId="{83F74D8B-55FA-476A-8933-D10DC018AEDE}" destId="{C39156B0-2788-4446-9CD1-56191DFF5C91}" srcOrd="0" destOrd="0" presId="urn:microsoft.com/office/officeart/2005/8/layout/pyramid2"/>
    <dgm:cxn modelId="{2730A910-77E9-413B-A2C4-BF6F8EFC6CEC}" srcId="{F7F2FCD9-460D-4981-9AFA-F2AFAD0CBA08}" destId="{D27B4726-522D-4FA4-A173-8257C5871D59}" srcOrd="1" destOrd="0" parTransId="{B8B3FFAF-A877-4D9D-8162-4F0520C37F9F}" sibTransId="{948B42D8-154D-4044-A5F9-B463796E3E8C}"/>
    <dgm:cxn modelId="{AA9F8906-5F31-4562-98CD-91FD5E9424BF}" srcId="{F7F2FCD9-460D-4981-9AFA-F2AFAD0CBA08}" destId="{AB3C49C7-AA5D-436E-BCE9-86E49A545976}" srcOrd="3" destOrd="0" parTransId="{E6ABF399-F410-46AD-BF0E-C952E76EF266}" sibTransId="{5F636E3B-5BFF-452D-A3E6-1247045430B4}"/>
    <dgm:cxn modelId="{33ABE344-9EAB-41D3-8BD9-C05641410D1C}" srcId="{F7F2FCD9-460D-4981-9AFA-F2AFAD0CBA08}" destId="{83F74D8B-55FA-476A-8933-D10DC018AEDE}" srcOrd="4" destOrd="0" parTransId="{A720D7C3-1396-4B66-B544-25EC3B2E3016}" sibTransId="{0CB82221-6D36-4670-B9C5-DD005FE4FD89}"/>
    <dgm:cxn modelId="{2DE125E0-A41C-48A8-9470-2859FBD06D01}" type="presOf" srcId="{AD028951-0A0F-41A5-AF3F-1DD00C5876C5}" destId="{AF4D5322-37BF-421E-B331-BE1A4D6F66D3}" srcOrd="0" destOrd="0" presId="urn:microsoft.com/office/officeart/2005/8/layout/pyramid2"/>
    <dgm:cxn modelId="{7A6FBEBC-912B-40C0-9DD0-CE460CFE3C88}" srcId="{F7F2FCD9-460D-4981-9AFA-F2AFAD0CBA08}" destId="{DC30EF51-0EB8-4BCA-BFF7-40BFDA19E916}" srcOrd="2" destOrd="0" parTransId="{33B861D4-420C-4018-90DF-3D44ED737C53}" sibTransId="{94FF2B88-25C7-41ED-9A09-03BECA6B4708}"/>
    <dgm:cxn modelId="{A22C31DF-5D45-4539-9ED6-D041ED5BBA22}" type="presOf" srcId="{DC30EF51-0EB8-4BCA-BFF7-40BFDA19E916}" destId="{15054FA6-07F3-4AD2-9132-408F4CB1EEFB}" srcOrd="0" destOrd="0" presId="urn:microsoft.com/office/officeart/2005/8/layout/pyramid2"/>
    <dgm:cxn modelId="{8A836883-4482-40C6-BA77-B976BF4031AA}" type="presParOf" srcId="{B3518B9F-2E80-48D4-8122-EA5DD3278025}" destId="{E873FF33-FBC2-4C41-8E76-62DB4E9C0BE2}" srcOrd="0" destOrd="0" presId="urn:microsoft.com/office/officeart/2005/8/layout/pyramid2"/>
    <dgm:cxn modelId="{B5E4AA51-6080-4FFD-86EF-3828E1338BD6}" type="presParOf" srcId="{B3518B9F-2E80-48D4-8122-EA5DD3278025}" destId="{318CE8AC-A1C2-4371-95EF-2D5F96F3C8D3}" srcOrd="1" destOrd="0" presId="urn:microsoft.com/office/officeart/2005/8/layout/pyramid2"/>
    <dgm:cxn modelId="{C4E6C6E3-A250-47A2-A81F-3863D70F8894}" type="presParOf" srcId="{318CE8AC-A1C2-4371-95EF-2D5F96F3C8D3}" destId="{AF4D5322-37BF-421E-B331-BE1A4D6F66D3}" srcOrd="0" destOrd="0" presId="urn:microsoft.com/office/officeart/2005/8/layout/pyramid2"/>
    <dgm:cxn modelId="{CC80D71A-6685-4000-A25C-DD00FFFF7559}" type="presParOf" srcId="{318CE8AC-A1C2-4371-95EF-2D5F96F3C8D3}" destId="{73C2024E-37C3-4AEB-B157-1D6165884EAB}" srcOrd="1" destOrd="0" presId="urn:microsoft.com/office/officeart/2005/8/layout/pyramid2"/>
    <dgm:cxn modelId="{1B7F5812-B47B-49A7-A55D-24F09812728F}" type="presParOf" srcId="{318CE8AC-A1C2-4371-95EF-2D5F96F3C8D3}" destId="{73350EEC-88E8-4855-89CB-BD3BC756B61C}" srcOrd="2" destOrd="0" presId="urn:microsoft.com/office/officeart/2005/8/layout/pyramid2"/>
    <dgm:cxn modelId="{8CA83037-F9AD-40C9-9AC4-804301108A14}" type="presParOf" srcId="{318CE8AC-A1C2-4371-95EF-2D5F96F3C8D3}" destId="{FAF4CDDF-C38F-45EB-8144-9BB401C91DB4}" srcOrd="3" destOrd="0" presId="urn:microsoft.com/office/officeart/2005/8/layout/pyramid2"/>
    <dgm:cxn modelId="{89B1BA3F-F501-4F60-A39B-8BADA4303B95}" type="presParOf" srcId="{318CE8AC-A1C2-4371-95EF-2D5F96F3C8D3}" destId="{15054FA6-07F3-4AD2-9132-408F4CB1EEFB}" srcOrd="4" destOrd="0" presId="urn:microsoft.com/office/officeart/2005/8/layout/pyramid2"/>
    <dgm:cxn modelId="{E45F88C9-26D7-4D20-9644-513366E7156C}" type="presParOf" srcId="{318CE8AC-A1C2-4371-95EF-2D5F96F3C8D3}" destId="{F0ED5A0A-FAFD-4083-9702-AD0191403F65}" srcOrd="5" destOrd="0" presId="urn:microsoft.com/office/officeart/2005/8/layout/pyramid2"/>
    <dgm:cxn modelId="{2356A671-4AAF-40F8-9124-C10B0B03C28D}" type="presParOf" srcId="{318CE8AC-A1C2-4371-95EF-2D5F96F3C8D3}" destId="{41D9C6F1-BA46-4E96-AF87-650915C18D02}" srcOrd="6" destOrd="0" presId="urn:microsoft.com/office/officeart/2005/8/layout/pyramid2"/>
    <dgm:cxn modelId="{FA134469-54B1-4D0D-89A8-0B3FA0FA24AF}" type="presParOf" srcId="{318CE8AC-A1C2-4371-95EF-2D5F96F3C8D3}" destId="{A85EFD9C-0CF0-4904-B036-F584A14F98EB}" srcOrd="7" destOrd="0" presId="urn:microsoft.com/office/officeart/2005/8/layout/pyramid2"/>
    <dgm:cxn modelId="{71CE04EF-93D9-4947-ACAB-D7597E0D2480}" type="presParOf" srcId="{318CE8AC-A1C2-4371-95EF-2D5F96F3C8D3}" destId="{C39156B0-2788-4446-9CD1-56191DFF5C91}" srcOrd="8" destOrd="0" presId="urn:microsoft.com/office/officeart/2005/8/layout/pyramid2"/>
    <dgm:cxn modelId="{6FF718CB-BF46-411B-91AC-50C659E609DA}" type="presParOf" srcId="{318CE8AC-A1C2-4371-95EF-2D5F96F3C8D3}" destId="{7651E2CC-C167-4DA1-BAB8-2B39579A9F39}" srcOrd="9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73FF33-FBC2-4C41-8E76-62DB4E9C0BE2}">
      <dsp:nvSpPr>
        <dsp:cNvPr id="0" name=""/>
        <dsp:cNvSpPr/>
      </dsp:nvSpPr>
      <dsp:spPr>
        <a:xfrm>
          <a:off x="362800" y="0"/>
          <a:ext cx="4213037" cy="3228974"/>
        </a:xfrm>
        <a:prstGeom prst="horizontalScroll">
          <a:avLst/>
        </a:prstGeom>
        <a:solidFill>
          <a:schemeClr val="accent6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4D5322-37BF-421E-B331-BE1A4D6F66D3}">
      <dsp:nvSpPr>
        <dsp:cNvPr id="0" name=""/>
        <dsp:cNvSpPr/>
      </dsp:nvSpPr>
      <dsp:spPr>
        <a:xfrm>
          <a:off x="2015719" y="323656"/>
          <a:ext cx="3006033" cy="596539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chemeClr val="accent2">
                  <a:lumMod val="50000"/>
                </a:schemeClr>
              </a:solidFill>
            </a:rPr>
            <a:t>Сохранение финансовой устойчивости и  сбалансированности бюджета района</a:t>
          </a:r>
          <a:endParaRPr lang="ru-RU" sz="1000" kern="1200">
            <a:solidFill>
              <a:schemeClr val="accent2">
                <a:lumMod val="50000"/>
              </a:schemeClr>
            </a:solidFill>
          </a:endParaRPr>
        </a:p>
      </dsp:txBody>
      <dsp:txXfrm>
        <a:off x="2044840" y="352777"/>
        <a:ext cx="2947791" cy="538297"/>
      </dsp:txXfrm>
    </dsp:sp>
    <dsp:sp modelId="{73350EEC-88E8-4855-89CB-BD3BC756B61C}">
      <dsp:nvSpPr>
        <dsp:cNvPr id="0" name=""/>
        <dsp:cNvSpPr/>
      </dsp:nvSpPr>
      <dsp:spPr>
        <a:xfrm>
          <a:off x="2004186" y="973305"/>
          <a:ext cx="2971423" cy="597753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chemeClr val="accent2">
                  <a:lumMod val="50000"/>
                </a:schemeClr>
              </a:solidFill>
            </a:rPr>
            <a:t>Финансовое обеспечение действующих и принимемых расходных обязательств</a:t>
          </a:r>
        </a:p>
      </dsp:txBody>
      <dsp:txXfrm>
        <a:off x="2033366" y="1002485"/>
        <a:ext cx="2913063" cy="539393"/>
      </dsp:txXfrm>
    </dsp:sp>
    <dsp:sp modelId="{15054FA6-07F3-4AD2-9132-408F4CB1EEFB}">
      <dsp:nvSpPr>
        <dsp:cNvPr id="0" name=""/>
        <dsp:cNvSpPr/>
      </dsp:nvSpPr>
      <dsp:spPr>
        <a:xfrm>
          <a:off x="2023411" y="1599778"/>
          <a:ext cx="2990649" cy="508184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/>
            <a:t> </a:t>
          </a:r>
          <a:r>
            <a:rPr lang="ru-RU" sz="1000" b="1" kern="1200">
              <a:solidFill>
                <a:schemeClr val="accent2">
                  <a:lumMod val="50000"/>
                </a:schemeClr>
              </a:solidFill>
            </a:rPr>
            <a:t>Обеспечение прозрачности муниципальных финансов и открытости бюджетного процесса для граждан</a:t>
          </a:r>
        </a:p>
      </dsp:txBody>
      <dsp:txXfrm>
        <a:off x="2048218" y="1624585"/>
        <a:ext cx="2941035" cy="458570"/>
      </dsp:txXfrm>
    </dsp:sp>
    <dsp:sp modelId="{41D9C6F1-BA46-4E96-AF87-650915C18D02}">
      <dsp:nvSpPr>
        <dsp:cNvPr id="0" name=""/>
        <dsp:cNvSpPr/>
      </dsp:nvSpPr>
      <dsp:spPr>
        <a:xfrm>
          <a:off x="2052249" y="2157107"/>
          <a:ext cx="2952198" cy="327312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chemeClr val="accent2">
                  <a:lumMod val="50000"/>
                </a:schemeClr>
              </a:solidFill>
            </a:rPr>
            <a:t>Повышение эффективности бюджетных расходов</a:t>
          </a:r>
        </a:p>
      </dsp:txBody>
      <dsp:txXfrm>
        <a:off x="2068227" y="2173085"/>
        <a:ext cx="2920242" cy="295356"/>
      </dsp:txXfrm>
    </dsp:sp>
    <dsp:sp modelId="{C39156B0-2788-4446-9CD1-56191DFF5C91}">
      <dsp:nvSpPr>
        <dsp:cNvPr id="0" name=""/>
        <dsp:cNvSpPr/>
      </dsp:nvSpPr>
      <dsp:spPr>
        <a:xfrm>
          <a:off x="2038796" y="2418942"/>
          <a:ext cx="3209725" cy="347301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chemeClr val="accent2">
                  <a:lumMod val="50000"/>
                </a:schemeClr>
              </a:solidFill>
            </a:rPr>
            <a:t>Исполнение</a:t>
          </a:r>
          <a:r>
            <a:rPr lang="ru-RU" sz="1000" b="1" kern="1200" baseline="0">
              <a:solidFill>
                <a:schemeClr val="accent2">
                  <a:lumMod val="50000"/>
                </a:schemeClr>
              </a:solidFill>
            </a:rPr>
            <a:t> расходной части  бюджета  с учетом  реализации новых инвестиционных проектов</a:t>
          </a:r>
          <a:endParaRPr lang="ru-RU" sz="1000" b="1" kern="1200">
            <a:solidFill>
              <a:schemeClr val="accent2">
                <a:lumMod val="50000"/>
              </a:schemeClr>
            </a:solidFill>
          </a:endParaRPr>
        </a:p>
      </dsp:txBody>
      <dsp:txXfrm>
        <a:off x="2055750" y="2435896"/>
        <a:ext cx="3175817" cy="3133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6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2023-04-12T12:40:00Z</cp:lastPrinted>
  <dcterms:created xsi:type="dcterms:W3CDTF">2023-03-02T06:23:00Z</dcterms:created>
  <dcterms:modified xsi:type="dcterms:W3CDTF">2023-04-13T07:48:00Z</dcterms:modified>
</cp:coreProperties>
</file>