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6F" w:rsidRPr="00FA236F" w:rsidRDefault="00FA236F" w:rsidP="00FA236F">
      <w:pPr>
        <w:widowControl/>
        <w:snapToGrid/>
        <w:jc w:val="both"/>
        <w:rPr>
          <w:rFonts w:ascii="Times New Roman" w:hAnsi="Times New Roman"/>
          <w:color w:val="000000"/>
          <w:spacing w:val="-2"/>
          <w:sz w:val="28"/>
        </w:rPr>
      </w:pPr>
      <w:r w:rsidRPr="00FA236F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sz w:val="24"/>
          <w:szCs w:val="24"/>
        </w:rPr>
      </w:pPr>
      <w:r w:rsidRPr="00FA236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FA236F">
        <w:rPr>
          <w:rFonts w:ascii="Times New Roman" w:hAnsi="Times New Roman"/>
          <w:color w:val="000000"/>
          <w:spacing w:val="-2"/>
          <w:sz w:val="28"/>
          <w:szCs w:val="28"/>
        </w:rPr>
        <w:t xml:space="preserve">   </w:t>
      </w:r>
      <w:r w:rsidRPr="00FA236F">
        <w:rPr>
          <w:rFonts w:ascii="Times New Roman" w:hAnsi="Times New Roman"/>
          <w:sz w:val="24"/>
          <w:szCs w:val="24"/>
        </w:rPr>
        <w:t xml:space="preserve">         БРЯНСКАЯ ОБЛАСТЬ</w:t>
      </w:r>
    </w:p>
    <w:p w:rsidR="00FA236F" w:rsidRPr="00FA236F" w:rsidRDefault="00FA236F" w:rsidP="00FA236F">
      <w:pPr>
        <w:widowControl/>
        <w:snapToGrid/>
        <w:ind w:left="-720"/>
        <w:jc w:val="center"/>
        <w:rPr>
          <w:rFonts w:ascii="Times New Roman" w:hAnsi="Times New Roman"/>
          <w:sz w:val="24"/>
          <w:szCs w:val="24"/>
        </w:rPr>
      </w:pPr>
    </w:p>
    <w:p w:rsidR="00FA236F" w:rsidRPr="00FA236F" w:rsidRDefault="00FA236F" w:rsidP="00FA236F">
      <w:pPr>
        <w:widowControl/>
        <w:snapToGrid/>
        <w:ind w:left="-720"/>
        <w:rPr>
          <w:rFonts w:ascii="Times New Roman" w:hAnsi="Times New Roman"/>
          <w:b/>
          <w:sz w:val="40"/>
          <w:szCs w:val="40"/>
        </w:rPr>
      </w:pPr>
      <w:r w:rsidRPr="00FA236F">
        <w:rPr>
          <w:rFonts w:ascii="Times New Roman" w:hAnsi="Times New Roman"/>
          <w:b/>
          <w:sz w:val="40"/>
          <w:szCs w:val="40"/>
        </w:rPr>
        <w:t xml:space="preserve">               БРАСОВСКИЙ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4045" cy="801370"/>
            <wp:effectExtent l="0" t="0" r="0" b="0"/>
            <wp:docPr id="3" name="Рисунок 3" descr="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36F">
        <w:rPr>
          <w:rFonts w:ascii="Times New Roman" w:hAnsi="Times New Roman"/>
          <w:sz w:val="24"/>
          <w:szCs w:val="24"/>
        </w:rPr>
        <w:t xml:space="preserve">  </w:t>
      </w:r>
      <w:r w:rsidRPr="00FA236F">
        <w:rPr>
          <w:rFonts w:ascii="Times New Roman" w:hAnsi="Times New Roman"/>
          <w:b/>
          <w:sz w:val="40"/>
          <w:szCs w:val="40"/>
        </w:rPr>
        <w:t xml:space="preserve">  РАЙОННЫЙ </w:t>
      </w:r>
    </w:p>
    <w:p w:rsidR="00FA236F" w:rsidRPr="00FA236F" w:rsidRDefault="00FA236F" w:rsidP="00FA236F">
      <w:pPr>
        <w:widowControl/>
        <w:tabs>
          <w:tab w:val="center" w:pos="4230"/>
          <w:tab w:val="left" w:pos="8860"/>
        </w:tabs>
        <w:snapToGrid/>
        <w:ind w:left="-1260" w:right="-365"/>
        <w:rPr>
          <w:rFonts w:ascii="Times New Roman" w:hAnsi="Times New Roman"/>
          <w:b/>
          <w:sz w:val="40"/>
          <w:szCs w:val="40"/>
        </w:rPr>
      </w:pPr>
      <w:r w:rsidRPr="00FA236F">
        <w:rPr>
          <w:rFonts w:ascii="Times New Roman" w:hAnsi="Times New Roman"/>
          <w:b/>
          <w:sz w:val="40"/>
          <w:szCs w:val="40"/>
        </w:rPr>
        <w:tab/>
        <w:t xml:space="preserve">  СОВЕТ НАРОДНЫХ ДЕПУТАТОВ</w:t>
      </w:r>
      <w:r w:rsidRPr="00FA236F">
        <w:rPr>
          <w:rFonts w:ascii="Times New Roman" w:hAnsi="Times New Roman"/>
          <w:b/>
          <w:sz w:val="40"/>
          <w:szCs w:val="40"/>
        </w:rPr>
        <w:tab/>
      </w:r>
    </w:p>
    <w:p w:rsidR="00FA236F" w:rsidRPr="00FA236F" w:rsidRDefault="00FA236F" w:rsidP="00FA236F">
      <w:pPr>
        <w:widowControl/>
        <w:snapToGrid/>
        <w:ind w:left="-1260" w:right="-365"/>
        <w:jc w:val="center"/>
        <w:rPr>
          <w:rFonts w:ascii="Times New Roman" w:hAnsi="Times New Roman"/>
          <w:b/>
          <w:sz w:val="40"/>
          <w:szCs w:val="40"/>
        </w:rPr>
      </w:pPr>
    </w:p>
    <w:p w:rsidR="00FA236F" w:rsidRPr="00FA236F" w:rsidRDefault="00FA236F" w:rsidP="00FA236F">
      <w:pPr>
        <w:widowControl/>
        <w:snapToGrid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-804545</wp:posOffset>
                </wp:positionH>
                <wp:positionV relativeFrom="paragraph">
                  <wp:posOffset>83820</wp:posOffset>
                </wp:positionV>
                <wp:extent cx="6743700" cy="0"/>
                <wp:effectExtent l="36830" t="32385" r="29845" b="342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35pt,6.6pt" to="467.6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w w:val="200"/>
          <w:sz w:val="32"/>
          <w:szCs w:val="32"/>
        </w:rPr>
      </w:pPr>
      <w:r w:rsidRPr="00FA236F">
        <w:rPr>
          <w:rFonts w:ascii="Times New Roman" w:hAnsi="Times New Roman"/>
          <w:w w:val="200"/>
          <w:sz w:val="32"/>
          <w:szCs w:val="32"/>
        </w:rPr>
        <w:t xml:space="preserve">             РЕШЕНИЕ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w w:val="200"/>
          <w:sz w:val="24"/>
          <w:szCs w:val="24"/>
        </w:rPr>
      </w:pP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sz w:val="28"/>
          <w:szCs w:val="28"/>
        </w:rPr>
      </w:pPr>
      <w:r w:rsidRPr="00FA236F">
        <w:rPr>
          <w:rFonts w:ascii="Times New Roman" w:hAnsi="Times New Roman"/>
          <w:b/>
          <w:sz w:val="28"/>
          <w:szCs w:val="28"/>
        </w:rPr>
        <w:t xml:space="preserve">от « </w:t>
      </w:r>
      <w:r w:rsidR="006052A3">
        <w:rPr>
          <w:rFonts w:ascii="Times New Roman" w:hAnsi="Times New Roman"/>
          <w:b/>
          <w:sz w:val="28"/>
          <w:szCs w:val="28"/>
        </w:rPr>
        <w:t>17</w:t>
      </w:r>
      <w:r w:rsidRPr="00FA236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»   ноября  2023 № </w:t>
      </w:r>
      <w:r w:rsidR="006052A3">
        <w:rPr>
          <w:rFonts w:ascii="Times New Roman" w:hAnsi="Times New Roman"/>
          <w:b/>
          <w:sz w:val="28"/>
          <w:szCs w:val="28"/>
        </w:rPr>
        <w:t>6-320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sz w:val="28"/>
          <w:szCs w:val="28"/>
        </w:rPr>
      </w:pPr>
      <w:r w:rsidRPr="00FA236F">
        <w:rPr>
          <w:rFonts w:ascii="Times New Roman" w:hAnsi="Times New Roman"/>
          <w:b/>
          <w:sz w:val="28"/>
          <w:szCs w:val="28"/>
        </w:rPr>
        <w:t xml:space="preserve"> п. Локоть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sz w:val="24"/>
          <w:szCs w:val="24"/>
        </w:rPr>
      </w:pPr>
    </w:p>
    <w:p w:rsidR="00FA236F" w:rsidRPr="00FA236F" w:rsidRDefault="00FA236F" w:rsidP="00FA236F">
      <w:pPr>
        <w:shd w:val="clear" w:color="auto" w:fill="FFFFFF"/>
        <w:ind w:left="-180" w:firstLine="284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FA236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</w:p>
    <w:p w:rsidR="006D7FA9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О внесении </w:t>
      </w:r>
      <w:r w:rsidR="006D7FA9">
        <w:rPr>
          <w:rFonts w:ascii="Times New Roman" w:hAnsi="Times New Roman"/>
          <w:i w:val="0"/>
          <w:color w:val="auto"/>
          <w:szCs w:val="28"/>
        </w:rPr>
        <w:t xml:space="preserve"> дополнения  в решение</w:t>
      </w:r>
    </w:p>
    <w:p w:rsidR="006D7FA9" w:rsidRDefault="006D7FA9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«О </w:t>
      </w:r>
      <w:r w:rsidR="00FA236F">
        <w:rPr>
          <w:rFonts w:ascii="Times New Roman" w:hAnsi="Times New Roman"/>
          <w:i w:val="0"/>
          <w:color w:val="auto"/>
          <w:szCs w:val="28"/>
        </w:rPr>
        <w:t xml:space="preserve">бюджете Брасовского </w:t>
      </w:r>
      <w:proofErr w:type="gramStart"/>
      <w:r w:rsidR="00FA236F">
        <w:rPr>
          <w:rFonts w:ascii="Times New Roman" w:hAnsi="Times New Roman"/>
          <w:i w:val="0"/>
          <w:color w:val="auto"/>
          <w:szCs w:val="28"/>
        </w:rPr>
        <w:t>муниципального</w:t>
      </w:r>
      <w:proofErr w:type="gramEnd"/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 </w:t>
      </w:r>
      <w:r w:rsidR="006D7FA9">
        <w:rPr>
          <w:rFonts w:ascii="Times New Roman" w:hAnsi="Times New Roman"/>
          <w:i w:val="0"/>
          <w:color w:val="auto"/>
          <w:szCs w:val="28"/>
        </w:rPr>
        <w:t>р</w:t>
      </w:r>
      <w:r>
        <w:rPr>
          <w:rFonts w:ascii="Times New Roman" w:hAnsi="Times New Roman"/>
          <w:i w:val="0"/>
          <w:color w:val="auto"/>
          <w:szCs w:val="28"/>
        </w:rPr>
        <w:t>айона</w:t>
      </w:r>
      <w:r w:rsidR="006D7FA9">
        <w:rPr>
          <w:rFonts w:ascii="Times New Roman" w:hAnsi="Times New Roman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i w:val="0"/>
          <w:color w:val="auto"/>
          <w:szCs w:val="28"/>
        </w:rPr>
        <w:t>Брянской области  на 2023 год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 и на плановый период 2024 и 2025годов</w:t>
      </w:r>
      <w:r w:rsidR="006D7FA9">
        <w:rPr>
          <w:rFonts w:ascii="Times New Roman" w:hAnsi="Times New Roman"/>
          <w:i w:val="0"/>
          <w:color w:val="auto"/>
          <w:szCs w:val="28"/>
        </w:rPr>
        <w:t>»</w:t>
      </w:r>
    </w:p>
    <w:p w:rsidR="00FC4511" w:rsidRDefault="00FC4511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>№6-242 от 14 декабря 2022 года.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</w:p>
    <w:p w:rsidR="00FA236F" w:rsidRDefault="00763D64" w:rsidP="000E0041">
      <w:pPr>
        <w:keepNext/>
        <w:widowControl/>
        <w:tabs>
          <w:tab w:val="num" w:pos="2268"/>
        </w:tabs>
        <w:spacing w:before="240" w:after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242.26 Бюджетного кодекса Российской  Федерации </w:t>
      </w:r>
      <w:r w:rsidR="00FA236F">
        <w:rPr>
          <w:rFonts w:ascii="Times New Roman" w:hAnsi="Times New Roman"/>
          <w:sz w:val="28"/>
          <w:szCs w:val="28"/>
        </w:rPr>
        <w:t xml:space="preserve"> Брасовский районный Совет народных депутатов</w:t>
      </w:r>
    </w:p>
    <w:p w:rsidR="00FA236F" w:rsidRDefault="00FA236F" w:rsidP="00FA236F">
      <w:pPr>
        <w:keepNext/>
        <w:widowControl/>
        <w:tabs>
          <w:tab w:val="num" w:pos="2268"/>
        </w:tabs>
        <w:spacing w:before="240"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763D64" w:rsidRDefault="00FC451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следующее дополнение в решение  «О бюджете  Брасовского муниципального района Брянской области на 2023 год  и на  плановый  период 2024 и 2025 годов»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:rsidR="000E0041" w:rsidRDefault="000E004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57F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пункт 20 данного решения изложить в следу</w:t>
      </w:r>
      <w:r w:rsidR="00CD57FB">
        <w:rPr>
          <w:rFonts w:ascii="Times New Roman" w:hAnsi="Times New Roman"/>
          <w:sz w:val="28"/>
          <w:szCs w:val="28"/>
        </w:rPr>
        <w:t xml:space="preserve">ющей редакции: </w:t>
      </w:r>
    </w:p>
    <w:p w:rsidR="000E0041" w:rsidRDefault="000E004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0041" w:rsidRPr="00FC4511" w:rsidRDefault="00DE7779" w:rsidP="000E0041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041" w:rsidRPr="00FC4511">
        <w:rPr>
          <w:rFonts w:ascii="Times New Roman" w:hAnsi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:rsidR="000A6F91" w:rsidRDefault="000E0041" w:rsidP="000A6F91">
      <w:pPr>
        <w:pStyle w:val="a7"/>
        <w:widowControl/>
        <w:numPr>
          <w:ilvl w:val="0"/>
          <w:numId w:val="1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4511">
        <w:rPr>
          <w:rFonts w:ascii="Times New Roman" w:hAnsi="Times New Roman"/>
          <w:sz w:val="28"/>
          <w:szCs w:val="28"/>
        </w:rPr>
        <w:t xml:space="preserve">         </w:t>
      </w:r>
      <w:r w:rsidR="00E01B48">
        <w:rPr>
          <w:rFonts w:ascii="Times New Roman" w:hAnsi="Times New Roman"/>
          <w:sz w:val="28"/>
          <w:szCs w:val="28"/>
        </w:rPr>
        <w:t xml:space="preserve">Установить, что </w:t>
      </w:r>
      <w:r w:rsidR="000A6F91">
        <w:rPr>
          <w:rFonts w:ascii="Times New Roman" w:hAnsi="Times New Roman"/>
          <w:sz w:val="28"/>
          <w:szCs w:val="28"/>
        </w:rPr>
        <w:t xml:space="preserve"> территориальные органы Федерального казначейства осуществляют казначейское сопровождение сре</w:t>
      </w:r>
      <w:proofErr w:type="gramStart"/>
      <w:r w:rsidR="000A6F91">
        <w:rPr>
          <w:rFonts w:ascii="Times New Roman" w:hAnsi="Times New Roman"/>
          <w:sz w:val="28"/>
          <w:szCs w:val="28"/>
        </w:rPr>
        <w:t>дств в в</w:t>
      </w:r>
      <w:proofErr w:type="gramEnd"/>
      <w:r w:rsidR="000A6F91">
        <w:rPr>
          <w:rFonts w:ascii="Times New Roman" w:hAnsi="Times New Roman"/>
          <w:sz w:val="28"/>
          <w:szCs w:val="28"/>
        </w:rPr>
        <w:t>алюте Российской Федерации, указанных в настоящем пункте, предоставляемых из бюджета Брасовского муниципального района Брянской области, включая остатки средств, предусмотренные настоящим пунктом (далее – целевые средства).</w:t>
      </w:r>
    </w:p>
    <w:p w:rsidR="000A6F91" w:rsidRDefault="000A6F91" w:rsidP="000A6F91">
      <w:pPr>
        <w:pStyle w:val="a7"/>
        <w:widowControl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:rsidR="000A6F91" w:rsidRDefault="000A6F91" w:rsidP="000A6F91">
      <w:pPr>
        <w:pStyle w:val="a7"/>
        <w:widowControl/>
        <w:numPr>
          <w:ilvl w:val="0"/>
          <w:numId w:val="2"/>
        </w:numPr>
        <w:tabs>
          <w:tab w:val="num" w:pos="1637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муниципальным бюджетным и автономным учреждениям Брасовского муниципального района) и бюджетные инвестиции юридическим лицам, предоставляемые в соответствии со статьей 80 Бюджетного кодекса Российской Федерации, за исключением случаев, когда порядками предоставления указанных в настоящем подпункте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едусмотрено условие о нераспространении казначейского сопровождения;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</w:t>
      </w:r>
      <w:r w:rsidR="00D732D5">
        <w:rPr>
          <w:rFonts w:ascii="Times New Roman" w:hAnsi="Times New Roman"/>
          <w:sz w:val="28"/>
          <w:szCs w:val="28"/>
        </w:rPr>
        <w:t xml:space="preserve"> услуг, заключенным на сумму 50</w:t>
      </w:r>
      <w:r>
        <w:rPr>
          <w:rFonts w:ascii="Times New Roman" w:hAnsi="Times New Roman"/>
          <w:sz w:val="28"/>
          <w:szCs w:val="28"/>
        </w:rPr>
        <w:t>000,0 тыс. рублей и более муниципальными бюджетными и автономными учреждениями Брасовского муниципального района,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  <w:proofErr w:type="gramEnd"/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авансовые платежи по муниципальным контрактам о поставке товаров, выполнении работ, оказании услуг, заключаемым на сумму 50000,0 тыс. рублей и более;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1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bCs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на сумму более 3000,0 тыс. рублей в рамках исполнения, указанных в подпунктах 2,4,5 настоящего пункта муниципальных контрактов (контрактов, договоров) о поставке товаров, выполнении работ, оказании услуг;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 средства, получаемые юридическими лицами, индивидуальными предпринимателями, физическими лицами – производителями товаров, работ, услуг в случаях, установленных нормативными правовыми актами администрации  Брасовского муниципального района.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  </w:t>
      </w:r>
    </w:p>
    <w:p w:rsidR="000A6F91" w:rsidRDefault="00E01B48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Установить, что </w:t>
      </w:r>
      <w:r w:rsidR="000A6F91">
        <w:rPr>
          <w:rFonts w:ascii="Times New Roman" w:hAnsi="Times New Roman"/>
          <w:bCs/>
          <w:sz w:val="28"/>
          <w:szCs w:val="28"/>
        </w:rPr>
        <w:t xml:space="preserve"> при казначейском сопровождении средств, предоставляемых на основании контрактов (договоров), указанных в п</w:t>
      </w:r>
      <w:r w:rsidR="00F126ED">
        <w:rPr>
          <w:rFonts w:ascii="Times New Roman" w:hAnsi="Times New Roman"/>
          <w:bCs/>
          <w:sz w:val="28"/>
          <w:szCs w:val="28"/>
        </w:rPr>
        <w:t xml:space="preserve">одпунктах 5, 6 пункта 1 </w:t>
      </w:r>
      <w:r w:rsidR="000A6F91">
        <w:rPr>
          <w:rFonts w:ascii="Times New Roman" w:hAnsi="Times New Roman"/>
          <w:bCs/>
          <w:sz w:val="28"/>
          <w:szCs w:val="28"/>
        </w:rPr>
        <w:t xml:space="preserve"> настоящего Решения,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="000A6F91">
        <w:rPr>
          <w:rFonts w:ascii="Times New Roman" w:hAnsi="Times New Roman"/>
          <w:bCs/>
          <w:sz w:val="28"/>
          <w:szCs w:val="28"/>
        </w:rPr>
        <w:t>муниципально</w:t>
      </w:r>
      <w:proofErr w:type="spellEnd"/>
      <w:r w:rsidR="000A6F91">
        <w:rPr>
          <w:rFonts w:ascii="Times New Roman" w:hAnsi="Times New Roman"/>
          <w:bCs/>
          <w:sz w:val="28"/>
          <w:szCs w:val="28"/>
        </w:rPr>
        <w:t>-частном партнерстве, перечисление средств по таким контрактам</w:t>
      </w:r>
      <w:proofErr w:type="gramEnd"/>
      <w:r w:rsidR="000A6F91"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 w:rsidR="000A6F91">
        <w:rPr>
          <w:rFonts w:ascii="Times New Roman" w:hAnsi="Times New Roman"/>
          <w:bCs/>
          <w:sz w:val="28"/>
          <w:szCs w:val="28"/>
        </w:rPr>
        <w:t>договорам)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поставщикам товаров в кредитных организациях, при представлении заказчиками по таким контрактам (договорам) в территориальные органы Федерального казначейства документов, подтверждающих поставку товаров.</w:t>
      </w:r>
      <w:proofErr w:type="gramEnd"/>
    </w:p>
    <w:p w:rsidR="000A6F91" w:rsidRDefault="00F126ED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Положения пункта 2 </w:t>
      </w:r>
      <w:r w:rsidR="000A6F91">
        <w:rPr>
          <w:rFonts w:ascii="Times New Roman" w:hAnsi="Times New Roman"/>
          <w:bCs/>
          <w:sz w:val="28"/>
          <w:szCs w:val="28"/>
        </w:rPr>
        <w:t xml:space="preserve"> настоящего решения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  <w:proofErr w:type="gramEnd"/>
      <w:r w:rsidR="000A6F9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A6F91">
        <w:rPr>
          <w:rFonts w:ascii="Times New Roman" w:hAnsi="Times New Roman"/>
          <w:bCs/>
          <w:sz w:val="28"/>
          <w:szCs w:val="28"/>
        </w:rPr>
        <w:t xml:space="preserve">Перечисление средств по таким контрактам (договорам), в том числе авансовых платежей,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</w:t>
      </w:r>
      <w:r w:rsidR="000A6F91">
        <w:rPr>
          <w:rFonts w:ascii="Times New Roman" w:hAnsi="Times New Roman"/>
          <w:bCs/>
          <w:sz w:val="28"/>
          <w:szCs w:val="28"/>
        </w:rPr>
        <w:lastRenderedPageBreak/>
        <w:t>открытые поставщикам по таким контрактам (договорам) в кредитных организациях.</w:t>
      </w:r>
      <w:proofErr w:type="gramEnd"/>
    </w:p>
    <w:p w:rsidR="000E0041" w:rsidRDefault="000E0041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C1ECB" w:rsidRDefault="00CC1ECB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C1ECB" w:rsidRDefault="00CC1ECB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-пункты 2</w:t>
      </w:r>
      <w:r w:rsidR="00DE7779">
        <w:rPr>
          <w:rFonts w:ascii="Times New Roman" w:hAnsi="Times New Roman"/>
          <w:sz w:val="28"/>
          <w:szCs w:val="28"/>
        </w:rPr>
        <w:t>0-27 ранее внесенные в данное  решение считать пунктами 21-28.</w:t>
      </w:r>
    </w:p>
    <w:p w:rsidR="00DE7779" w:rsidRDefault="00DE7779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Pr="00DE7779" w:rsidRDefault="00DE7779" w:rsidP="00DE7779">
      <w:pPr>
        <w:snapToGrid/>
        <w:rPr>
          <w:rFonts w:ascii="Times New Roman" w:hAnsi="Times New Roman"/>
          <w:snapToGrid w:val="0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Глава района,</w:t>
      </w:r>
    </w:p>
    <w:p w:rsidR="00DE7779" w:rsidRPr="00DE7779" w:rsidRDefault="00DE7779" w:rsidP="00DE7779">
      <w:pPr>
        <w:snapToGrid/>
        <w:rPr>
          <w:rFonts w:ascii="Times New Roman" w:hAnsi="Times New Roman"/>
          <w:snapToGrid w:val="0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председатель районного  Совета</w:t>
      </w:r>
    </w:p>
    <w:p w:rsidR="00DE7779" w:rsidRPr="00FC4511" w:rsidRDefault="00DE7779" w:rsidP="00DE7779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народных депутатов:                                                                В.А.Иванютин</w:t>
      </w:r>
    </w:p>
    <w:p w:rsidR="000E0041" w:rsidRPr="00FC4511" w:rsidRDefault="000E0041" w:rsidP="000E0041">
      <w:pPr>
        <w:widowControl/>
        <w:tabs>
          <w:tab w:val="num" w:pos="1637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041" w:rsidRPr="00FC4511" w:rsidRDefault="000E0041" w:rsidP="000E0041">
      <w:pPr>
        <w:spacing w:line="276" w:lineRule="auto"/>
      </w:pPr>
    </w:p>
    <w:p w:rsidR="000E0041" w:rsidRDefault="000E004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C4511" w:rsidRPr="00FC4511" w:rsidRDefault="00FC4511" w:rsidP="00FC4511">
      <w:pPr>
        <w:widowControl/>
        <w:ind w:left="851" w:hanging="851"/>
        <w:jc w:val="both"/>
        <w:sectPr w:rsidR="00FC4511" w:rsidRPr="00FC4511">
          <w:pgSz w:w="11906" w:h="16838"/>
          <w:pgMar w:top="1134" w:right="850" w:bottom="1134" w:left="1701" w:header="708" w:footer="708" w:gutter="0"/>
          <w:cols w:space="720"/>
        </w:sectPr>
      </w:pPr>
    </w:p>
    <w:p w:rsidR="00CA5CB2" w:rsidRDefault="00CA5CB2" w:rsidP="00FA236F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95E46"/>
    <w:multiLevelType w:val="hybridMultilevel"/>
    <w:tmpl w:val="37EA9544"/>
    <w:lvl w:ilvl="0" w:tplc="91A28B4C">
      <w:start w:val="1"/>
      <w:numFmt w:val="decimal"/>
      <w:suff w:val="space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6F"/>
    <w:rsid w:val="000147A7"/>
    <w:rsid w:val="0005427A"/>
    <w:rsid w:val="00077CE3"/>
    <w:rsid w:val="000A6F91"/>
    <w:rsid w:val="000A72C1"/>
    <w:rsid w:val="000E0041"/>
    <w:rsid w:val="000E2146"/>
    <w:rsid w:val="000E7929"/>
    <w:rsid w:val="001019A9"/>
    <w:rsid w:val="0010303D"/>
    <w:rsid w:val="0015706C"/>
    <w:rsid w:val="00160130"/>
    <w:rsid w:val="001A0F39"/>
    <w:rsid w:val="001F2D69"/>
    <w:rsid w:val="0020003A"/>
    <w:rsid w:val="00292C2B"/>
    <w:rsid w:val="002A587F"/>
    <w:rsid w:val="002D13B6"/>
    <w:rsid w:val="003453AA"/>
    <w:rsid w:val="003459F1"/>
    <w:rsid w:val="003F0A2B"/>
    <w:rsid w:val="00400153"/>
    <w:rsid w:val="00436859"/>
    <w:rsid w:val="00473595"/>
    <w:rsid w:val="004B7654"/>
    <w:rsid w:val="00506E72"/>
    <w:rsid w:val="005075EB"/>
    <w:rsid w:val="005A45D8"/>
    <w:rsid w:val="005B703D"/>
    <w:rsid w:val="005D438F"/>
    <w:rsid w:val="005F4743"/>
    <w:rsid w:val="006052A3"/>
    <w:rsid w:val="00686400"/>
    <w:rsid w:val="006B2E7C"/>
    <w:rsid w:val="006C7C69"/>
    <w:rsid w:val="006D028C"/>
    <w:rsid w:val="006D7FA9"/>
    <w:rsid w:val="007317EF"/>
    <w:rsid w:val="0074422E"/>
    <w:rsid w:val="00763D64"/>
    <w:rsid w:val="007C44E3"/>
    <w:rsid w:val="007E573C"/>
    <w:rsid w:val="007E5CE2"/>
    <w:rsid w:val="007F5583"/>
    <w:rsid w:val="00822BA5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91389"/>
    <w:rsid w:val="00A942E7"/>
    <w:rsid w:val="00AC16C7"/>
    <w:rsid w:val="00AF1B02"/>
    <w:rsid w:val="00B8558C"/>
    <w:rsid w:val="00B858D7"/>
    <w:rsid w:val="00BD0A30"/>
    <w:rsid w:val="00C564FB"/>
    <w:rsid w:val="00C72292"/>
    <w:rsid w:val="00C97C0D"/>
    <w:rsid w:val="00CA5CB2"/>
    <w:rsid w:val="00CC1ECB"/>
    <w:rsid w:val="00CC6AF5"/>
    <w:rsid w:val="00CD57FB"/>
    <w:rsid w:val="00CF2F6F"/>
    <w:rsid w:val="00D328F7"/>
    <w:rsid w:val="00D732D5"/>
    <w:rsid w:val="00DA70B9"/>
    <w:rsid w:val="00DB07C7"/>
    <w:rsid w:val="00DE7779"/>
    <w:rsid w:val="00DF334D"/>
    <w:rsid w:val="00E01B48"/>
    <w:rsid w:val="00E179D0"/>
    <w:rsid w:val="00E402BD"/>
    <w:rsid w:val="00E4695D"/>
    <w:rsid w:val="00E67CD3"/>
    <w:rsid w:val="00E711F8"/>
    <w:rsid w:val="00E7228D"/>
    <w:rsid w:val="00E73808"/>
    <w:rsid w:val="00E85232"/>
    <w:rsid w:val="00E93966"/>
    <w:rsid w:val="00EA6039"/>
    <w:rsid w:val="00EB0247"/>
    <w:rsid w:val="00EB65C3"/>
    <w:rsid w:val="00EC1316"/>
    <w:rsid w:val="00ED6D71"/>
    <w:rsid w:val="00EE5161"/>
    <w:rsid w:val="00EE7343"/>
    <w:rsid w:val="00F126ED"/>
    <w:rsid w:val="00F15175"/>
    <w:rsid w:val="00F176BC"/>
    <w:rsid w:val="00F21424"/>
    <w:rsid w:val="00F23B8B"/>
    <w:rsid w:val="00F513BB"/>
    <w:rsid w:val="00F51CAE"/>
    <w:rsid w:val="00FA236F"/>
    <w:rsid w:val="00FC0B6D"/>
    <w:rsid w:val="00FC4511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F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236F"/>
    <w:rPr>
      <w:b/>
      <w:i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FA236F"/>
    <w:rPr>
      <w:rFonts w:ascii="Tms Rmn" w:eastAsia="Times New Roman" w:hAnsi="Tms Rmn" w:cs="Times New Roman"/>
      <w:b/>
      <w:i/>
      <w:color w:val="000000"/>
      <w:sz w:val="28"/>
      <w:szCs w:val="20"/>
      <w:lang w:eastAsia="ru-RU"/>
    </w:rPr>
  </w:style>
  <w:style w:type="paragraph" w:customStyle="1" w:styleId="1">
    <w:name w:val="Обычный1"/>
    <w:rsid w:val="00FA23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3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3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F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236F"/>
    <w:rPr>
      <w:b/>
      <w:i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FA236F"/>
    <w:rPr>
      <w:rFonts w:ascii="Tms Rmn" w:eastAsia="Times New Roman" w:hAnsi="Tms Rmn" w:cs="Times New Roman"/>
      <w:b/>
      <w:i/>
      <w:color w:val="000000"/>
      <w:sz w:val="28"/>
      <w:szCs w:val="20"/>
      <w:lang w:eastAsia="ru-RU"/>
    </w:rPr>
  </w:style>
  <w:style w:type="paragraph" w:customStyle="1" w:styleId="1">
    <w:name w:val="Обычный1"/>
    <w:rsid w:val="00FA23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3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3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2023-11-17T05:55:00Z</cp:lastPrinted>
  <dcterms:created xsi:type="dcterms:W3CDTF">2023-11-15T13:15:00Z</dcterms:created>
  <dcterms:modified xsi:type="dcterms:W3CDTF">2023-12-29T06:00:00Z</dcterms:modified>
</cp:coreProperties>
</file>